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Business Requirements Document (BRD) – Email Purchase Order Entry Automation</w:t>
      </w:r>
    </w:p>
    <w:p>
      <w:pPr>
        <w:spacing w:after="100"/>
      </w:pPr>
      <w:r>
        <w:rPr>
          <w:b/>
        </w:rPr>
        <w:t>Version:</w:t>
      </w:r>
      <w:r>
        <w:t xml:space="preserve"> 1.0</w:t>
      </w:r>
    </w:p>
    <w:p>
      <w:pPr>
        <w:spacing w:after="100"/>
      </w:pPr>
      <w:r>
        <w:rPr>
          <w:b/>
        </w:rPr>
        <w:t>Date:</w:t>
      </w:r>
      <w:r>
        <w:t xml:space="preserve"> 02 Mar 2026</w:t>
      </w:r>
    </w:p>
    <w:p>
      <w:pPr>
        <w:spacing w:after="100"/>
      </w:pPr>
      <w:r>
        <w:rPr>
          <w:b/>
        </w:rPr>
        <w:t>Business Owner:</w:t>
      </w:r>
      <w:r>
        <w:t xml:space="preserve"> Customer Service Operations</w:t>
      </w:r>
    </w:p>
    <w:p>
      <w:pPr>
        <w:spacing w:after="100"/>
      </w:pPr>
      <w:r>
        <w:rPr>
          <w:b/>
        </w:rPr>
        <w:t>Status:</w:t>
      </w:r>
      <w:r>
        <w:t xml:space="preserve"> Approved</w:t>
      </w:r>
    </w:p>
    <w:p>
      <w:pPr>
        <w:pStyle w:val="Heading2"/>
      </w:pPr>
      <w:r>
        <w:t>TABLE OF CONTENTS</w:t>
      </w:r>
    </w:p>
    <w:p>
      <w:pPr>
        <w:spacing w:after="100"/>
      </w:pPr>
      <w:r>
        <w:t>1. Purpose</w:t>
      </w:r>
    </w:p>
    <w:p>
      <w:pPr>
        <w:spacing w:after="100"/>
      </w:pPr>
      <w:r>
        <w:t>2. Current State</w:t>
      </w:r>
    </w:p>
    <w:p>
      <w:pPr>
        <w:spacing w:after="100"/>
      </w:pPr>
      <w:r>
        <w:t>3. Objectives</w:t>
      </w:r>
    </w:p>
    <w:p>
      <w:pPr>
        <w:spacing w:after="100"/>
      </w:pPr>
      <w:r>
        <w:t>4. Scope of Work</w:t>
      </w:r>
    </w:p>
    <w:p>
      <w:pPr>
        <w:spacing w:after="100"/>
      </w:pPr>
      <w:r>
        <w:t>5. User Roles</w:t>
      </w:r>
    </w:p>
    <w:p>
      <w:pPr>
        <w:spacing w:after="100"/>
      </w:pPr>
      <w:r>
        <w:t>Sample Use Cases &amp; User Stories</w:t>
      </w:r>
    </w:p>
    <w:p>
      <w:pPr>
        <w:spacing w:after="100"/>
      </w:pPr>
      <w:r>
        <w:t>7. Requirements</w:t>
      </w:r>
    </w:p>
    <w:p>
      <w:pPr>
        <w:spacing w:after="100"/>
      </w:pPr>
      <w:r>
        <w:t>8. Non-Functional Requirements (NFR)</w:t>
      </w:r>
    </w:p>
    <w:p>
      <w:pPr>
        <w:spacing w:after="100"/>
      </w:pPr>
      <w:r>
        <w:t>9. System Integrations</w:t>
      </w:r>
    </w:p>
    <w:p>
      <w:pPr>
        <w:spacing w:after="100"/>
      </w:pPr>
      <w:r>
        <w:t>10. Technical Overview</w:t>
      </w:r>
    </w:p>
    <w:p>
      <w:pPr>
        <w:spacing w:after="100"/>
      </w:pPr>
      <w:r>
        <w:t>11. Data Sources</w:t>
      </w:r>
    </w:p>
    <w:p>
      <w:pPr>
        <w:spacing w:after="100"/>
      </w:pPr>
      <w:r>
        <w:t>Logging and Monitoring</w:t>
      </w:r>
    </w:p>
    <w:p>
      <w:pPr>
        <w:spacing w:after="100"/>
      </w:pPr>
      <w:r>
        <w:t>13. Security &amp; Compliance</w:t>
      </w:r>
    </w:p>
    <w:p>
      <w:pPr>
        <w:spacing w:after="100"/>
      </w:pPr>
      <w:r>
        <w:t>Constraints and Assumptions</w:t>
      </w:r>
    </w:p>
    <w:p>
      <w:pPr>
        <w:spacing w:after="100"/>
      </w:pPr>
      <w:r>
        <w:t>15. Dependencies</w:t>
      </w:r>
    </w:p>
    <w:p>
      <w:pPr>
        <w:spacing w:after="100"/>
      </w:pPr>
      <w:r>
        <w:t>High-Level Plan</w:t>
      </w:r>
    </w:p>
    <w:p>
      <w:pPr>
        <w:spacing w:after="100"/>
      </w:pPr>
      <w:r>
        <w:t>17. Acceptance Criteria</w:t>
      </w:r>
    </w:p>
    <w:p>
      <w:pPr>
        <w:spacing w:after="100"/>
      </w:pPr>
      <w:r>
        <w:t>18. Key Risks</w:t>
      </w:r>
    </w:p>
    <w:p>
      <w:pPr>
        <w:spacing w:after="100"/>
      </w:pPr>
      <w:r>
        <w:t>ROI</w:t>
      </w:r>
    </w:p>
    <w:p>
      <w:pPr>
        <w:spacing w:after="100"/>
      </w:pPr>
      <w:r>
        <w:t>20. Approvals</w:t>
      </w:r>
    </w:p>
    <w:p>
      <w:pPr>
        <w:spacing w:after="100"/>
      </w:pPr>
      <w:r>
        <w:t>Appendix</w:t>
      </w:r>
    </w:p>
    <w:p>
      <w:pPr>
        <w:pStyle w:val="Heading1"/>
      </w:pPr>
      <w:r>
        <w:t>1. Purpose</w:t>
      </w:r>
    </w:p>
    <w:p>
      <w:pPr>
        <w:spacing w:after="100"/>
      </w:pPr>
      <w:r>
        <w:t>Email Order Entry will convert customer purchase orders received by email into draft sales orders in SAP, reducing manual keying for Customer Service Representatives (CSRs).</w:t>
      </w:r>
    </w:p>
    <w:p>
      <w:pPr>
        <w:spacing w:after="100"/>
      </w:pPr>
      <w:r>
        <w:t>MVP1 reads PO emails and attachments, extracts customer, ship-to, lines and requested dates, matches items using customer cross-references, validates against SAP and creates a draft order for CSR review. MVP2 adds automatic order release for trusted customers and order acknowledgement emails.</w:t>
      </w:r>
    </w:p>
    <w:p>
      <w:pPr>
        <w:pStyle w:val="Heading1"/>
      </w:pPr>
      <w:r>
        <w:t>2. Current State</w:t>
      </w:r>
    </w:p>
    <w:p>
      <w:pPr>
        <w:spacing w:after="100"/>
      </w:pPr>
      <w:r>
        <w:t>Customer Service receives about 6,000 PO emails per week across 40 branches; average manual entry takes 12 minutes.</w:t>
      </w:r>
    </w:p>
    <w:p>
      <w:pPr>
        <w:spacing w:after="100"/>
      </w:pPr>
      <w:r>
        <w:t>Keying errors cause wrong shipments, returns and credit notes.</w:t>
      </w:r>
    </w:p>
    <w:p>
      <w:pPr>
        <w:spacing w:after="100"/>
      </w:pPr>
      <w:r>
        <w:t>Open question: confirm with business owner.</w:t>
      </w:r>
    </w:p>
    <w:p>
      <w:pPr>
        <w:pStyle w:val="Heading1"/>
      </w:pPr>
      <w:r>
        <w:t>3. Objectives</w:t>
      </w:r>
    </w:p>
    <w:p>
      <w:pPr>
        <w:spacing w:after="60"/>
        <w:ind w:left="432"/>
      </w:pPr>
      <w:r>
        <w:t xml:space="preserve">1. </w:t>
      </w:r>
      <w:r>
        <w:t>Reduce order entry time by 60%</w:t>
      </w:r>
    </w:p>
    <w:p>
      <w:pPr>
        <w:spacing w:after="60"/>
        <w:ind w:left="432"/>
      </w:pPr>
      <w:r>
        <w:t xml:space="preserve">2. </w:t>
      </w:r>
      <w:r>
        <w:t>Reduce order entry errors by 50%</w:t>
      </w:r>
    </w:p>
    <w:p>
      <w:pPr>
        <w:spacing w:after="60"/>
        <w:ind w:left="432"/>
      </w:pPr>
      <w:r>
        <w:t xml:space="preserve">3. </w:t>
      </w:r>
      <w:r>
        <w:t>Create SAP draft orders within 5 minutes of email receipt</w:t>
      </w:r>
    </w:p>
    <w:p>
      <w:pPr>
        <w:spacing w:after="60"/>
        <w:ind w:left="432"/>
      </w:pPr>
      <w:r>
        <w:t xml:space="preserve">4. </w:t>
      </w:r>
      <w:r>
        <w:t>Keep CSR review for every order in MVP1</w:t>
      </w:r>
    </w:p>
    <w:p>
      <w:pPr>
        <w:pStyle w:val="Heading1"/>
      </w:pPr>
      <w:r>
        <w:t>4. Scope of Work</w:t>
      </w:r>
    </w:p>
    <w:p>
      <w:pPr>
        <w:pStyle w:val="Heading2"/>
      </w:pPr>
      <w:r>
        <w:t>(MVP1)</w:t>
      </w:r>
    </w:p>
    <w:p>
      <w:pPr>
        <w:spacing w:after="100"/>
      </w:pPr>
      <w:r>
        <w:t>PO intake from branch order mailboxes, extraction from email body and PDF/Excel attachments, customer and ship-to identification, item matching via customer cross-reference and catalog, SAP validation (customer, material, pricing check), draft sales order creation, CSR review queue</w:t>
      </w:r>
    </w:p>
    <w:p>
      <w:pPr>
        <w:pStyle w:val="Heading2"/>
      </w:pPr>
      <w:r>
        <w:t>(MVP2)</w:t>
      </w:r>
    </w:p>
    <w:p>
      <w:pPr>
        <w:spacing w:after="100"/>
      </w:pPr>
      <w:r>
        <w:t>Straight-through release for trusted customers, order acknowledgement emails, EDI fallback detection, analytics</w:t>
      </w:r>
    </w:p>
    <w:p>
      <w:pPr>
        <w:pStyle w:val="Heading2"/>
      </w:pPr>
      <w:r>
        <w:t>Out of scope</w:t>
      </w:r>
    </w:p>
    <w:p>
      <w:pPr>
        <w:spacing w:after="100"/>
      </w:pPr>
      <w:r>
        <w:t>EDI orders, credit checks changes, quotations, returns</w:t>
      </w:r>
    </w:p>
    <w:p>
      <w:pPr>
        <w:pStyle w:val="Heading1"/>
      </w:pPr>
      <w:r>
        <w:t>5. User Roles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b/>
              </w:rPr>
              <w:t>Persona</w:t>
            </w:r>
          </w:p>
        </w:tc>
        <w:tc>
          <w:tcPr>
            <w:tcW w:type="dxa" w:w="4680"/>
          </w:tcPr>
          <w:p>
            <w:r/>
            <w:r>
              <w:rPr>
                <w:b/>
              </w:rPr>
              <w:t>Responsibilities</w:t>
            </w:r>
          </w:p>
        </w:tc>
      </w:tr>
      <w:tr>
        <w:tc>
          <w:tcPr>
            <w:tcW w:type="dxa" w:w="4680"/>
          </w:tcPr>
          <w:p>
            <w:r>
              <w:t>CSR</w:t>
            </w:r>
          </w:p>
        </w:tc>
        <w:tc>
          <w:tcPr>
            <w:tcW w:type="dxa" w:w="4680"/>
          </w:tcPr>
          <w:p>
            <w:r>
              <w:t>Review draft orders, correct lines, release orders in SAP</w:t>
            </w:r>
          </w:p>
        </w:tc>
      </w:tr>
      <w:tr>
        <w:tc>
          <w:tcPr>
            <w:tcW w:type="dxa" w:w="4680"/>
          </w:tcPr>
          <w:p>
            <w:r>
              <w:t>CS Supervisor</w:t>
            </w:r>
          </w:p>
        </w:tc>
        <w:tc>
          <w:tcPr>
            <w:tcW w:type="dxa" w:w="4680"/>
          </w:tcPr>
          <w:p>
            <w:r>
              <w:t>Monitor queue and SLAs, reassign orders</w:t>
            </w:r>
          </w:p>
        </w:tc>
      </w:tr>
      <w:tr>
        <w:tc>
          <w:tcPr>
            <w:tcW w:type="dxa" w:w="4680"/>
          </w:tcPr>
          <w:p>
            <w:r>
              <w:t>CS Admin</w:t>
            </w:r>
          </w:p>
        </w:tc>
        <w:tc>
          <w:tcPr>
            <w:tcW w:type="dxa" w:w="4680"/>
          </w:tcPr>
          <w:p>
            <w:r>
              <w:t>Maintain mailbox routing, customer cross-reference uploads and confidence thresholds</w:t>
            </w:r>
          </w:p>
        </w:tc>
      </w:tr>
    </w:tbl>
    <w:p/>
    <w:p>
      <w:pPr>
        <w:pStyle w:val="Heading1"/>
      </w:pPr>
      <w:r>
        <w:t>6. Sample Use Cases &amp; User Stories</w:t>
      </w:r>
    </w:p>
    <w:p>
      <w:pPr>
        <w:spacing w:after="60"/>
        <w:ind w:left="432"/>
      </w:pPr>
      <w:r>
        <w:t xml:space="preserve">1. </w:t>
      </w:r>
      <w:r>
        <w:t>As a CSR, I see each PO email converted to a draft order with header and lines and a confidence per field.</w:t>
      </w:r>
    </w:p>
    <w:p>
      <w:pPr>
        <w:spacing w:after="60"/>
        <w:ind w:left="432"/>
      </w:pPr>
      <w:r>
        <w:t xml:space="preserve">2. </w:t>
      </w:r>
      <w:r>
        <w:t>As a CSR, I see lines where the customer part number has no cross-reference highlighted.</w:t>
      </w:r>
    </w:p>
    <w:p>
      <w:pPr>
        <w:spacing w:after="60"/>
        <w:ind w:left="432"/>
      </w:pPr>
      <w:r>
        <w:t xml:space="preserve">3. </w:t>
      </w:r>
      <w:r>
        <w:t>As a CS Supervisor, I see orders older than 30 minutes in the queue flagged.</w:t>
      </w:r>
    </w:p>
    <w:p>
      <w:pPr>
        <w:spacing w:after="60"/>
        <w:ind w:left="432"/>
      </w:pPr>
      <w:r>
        <w:t xml:space="preserve">4. </w:t>
      </w:r>
      <w:r>
        <w:t>As a CS Admin, I can upload a customer cross-reference file.</w:t>
      </w:r>
    </w:p>
    <w:p>
      <w:pPr>
        <w:pStyle w:val="Heading1"/>
      </w:pPr>
      <w:r>
        <w:t>7. Requirements</w:t>
      </w:r>
    </w:p>
    <w:p>
      <w:pPr>
        <w:pStyle w:val="ListBullet"/>
        <w:spacing w:after="60"/>
      </w:pPr>
      <w:r>
        <w:rPr>
          <w:b/>
        </w:rPr>
        <w:t xml:space="preserve">MVP1: </w:t>
      </w:r>
      <w:r>
        <w:t>Intake from branch order mailboxes via Microsoft Graph; duplicate PO detection by customer PO number.</w:t>
      </w:r>
    </w:p>
    <w:p>
      <w:pPr>
        <w:pStyle w:val="ListBullet"/>
        <w:spacing w:after="60"/>
      </w:pPr>
      <w:r>
        <w:rPr>
          <w:b/>
        </w:rPr>
        <w:t xml:space="preserve">MVP1: </w:t>
      </w:r>
      <w:r>
        <w:t>Extraction of customer PO number, sold-to, ship-to, requested delivery date and lines (customer part, description, quantity, UoM, price) using Azure Document Intelligence and Azure OpenAI.</w:t>
      </w:r>
    </w:p>
    <w:p>
      <w:pPr>
        <w:pStyle w:val="ListBullet"/>
        <w:spacing w:after="60"/>
      </w:pPr>
      <w:r>
        <w:rPr>
          <w:b/>
        </w:rPr>
        <w:t xml:space="preserve">MVP1: </w:t>
      </w:r>
      <w:r>
        <w:t>Customer identification by sender domain and PO content; item matching via customer cross-reference table, then catalog search.</w:t>
      </w:r>
    </w:p>
    <w:p>
      <w:pPr>
        <w:pStyle w:val="ListBullet"/>
        <w:spacing w:after="60"/>
      </w:pPr>
      <w:r>
        <w:rPr>
          <w:b/>
        </w:rPr>
        <w:t xml:space="preserve">MVP1: </w:t>
      </w:r>
      <w:r>
        <w:t>SAP validation via APIM (customer active, material valid, price variance &gt;5% flagged) and creation of a draft sales order (not released).</w:t>
      </w:r>
    </w:p>
    <w:p>
      <w:pPr>
        <w:pStyle w:val="ListBullet"/>
        <w:spacing w:after="60"/>
      </w:pPr>
      <w:r>
        <w:rPr>
          <w:b w:val="0"/>
        </w:rPr>
        <w:t xml:space="preserve">MVP1 – </w:t>
      </w:r>
      <w:r>
        <w:t>CSR review queue with corrections and release action.</w:t>
      </w:r>
    </w:p>
    <w:p>
      <w:pPr>
        <w:pStyle w:val="ListBullet"/>
        <w:spacing w:after="60"/>
      </w:pPr>
      <w:r>
        <w:rPr>
          <w:b/>
        </w:rPr>
        <w:t xml:space="preserve">MVP2: </w:t>
      </w:r>
      <w:r>
        <w:t>Straight-through release for trusted customers.</w:t>
      </w:r>
    </w:p>
    <w:p>
      <w:pPr>
        <w:pStyle w:val="ListBullet"/>
        <w:spacing w:after="60"/>
      </w:pPr>
      <w:r>
        <w:rPr>
          <w:b w:val="0"/>
        </w:rPr>
        <w:t xml:space="preserve">MVP2: </w:t>
      </w:r>
      <w:r>
        <w:t>Acknowledgement emails.</w:t>
      </w:r>
    </w:p>
    <w:p>
      <w:pPr>
        <w:pStyle w:val="ListBullet"/>
        <w:spacing w:after="60"/>
      </w:pPr>
      <w:r>
        <w:rPr>
          <w:b w:val="0"/>
        </w:rPr>
        <w:t xml:space="preserve">MVP2 – </w:t>
      </w:r>
      <w:r>
        <w:t>EDI detection.</w:t>
      </w:r>
    </w:p>
    <w:p>
      <w:pPr>
        <w:pStyle w:val="ListBullet"/>
        <w:spacing w:after="60"/>
      </w:pPr>
      <w:r>
        <w:rPr>
          <w:b w:val="0"/>
        </w:rPr>
        <w:t xml:space="preserve">MVP2: </w:t>
      </w:r>
      <w:r>
        <w:t>Analytics.</w:t>
      </w:r>
    </w:p>
    <w:p>
      <w:pPr>
        <w:pStyle w:val="Heading1"/>
      </w:pPr>
      <w:r>
        <w:t>8. Non-Functional Requirements (NFR)</w:t>
      </w:r>
    </w:p>
    <w:p>
      <w:pPr>
        <w:pStyle w:val="Heading2"/>
      </w:pPr>
      <w:r>
        <w:t>Availability</w:t>
      </w:r>
    </w:p>
    <w:p>
      <w:pPr>
        <w:spacing w:after="60"/>
        <w:ind w:left="432"/>
      </w:pPr>
      <w:r>
        <w:t xml:space="preserve">1. </w:t>
      </w:r>
      <w:r>
        <w:t>99.5% 24x5.</w:t>
      </w:r>
    </w:p>
    <w:p>
      <w:pPr>
        <w:spacing w:after="100"/>
      </w:pPr>
      <w:r>
        <w:rPr>
          <w:b/>
        </w:rPr>
        <w:t>Security</w:t>
      </w:r>
      <w:r/>
    </w:p>
    <w:p>
      <w:pPr>
        <w:spacing w:after="60"/>
        <w:ind w:left="432"/>
      </w:pPr>
      <w:r>
        <w:t xml:space="preserve">1. </w:t>
      </w:r>
      <w:r>
        <w:t>Azure AD; branch-based queue access.</w:t>
      </w:r>
    </w:p>
    <w:p>
      <w:pPr>
        <w:spacing w:after="100"/>
      </w:pPr>
      <w:r>
        <w:rPr>
          <w:b/>
        </w:rPr>
        <w:t>Performance</w:t>
      </w:r>
      <w:r/>
    </w:p>
    <w:p>
      <w:pPr>
        <w:spacing w:after="60"/>
        <w:ind w:left="432"/>
      </w:pPr>
      <w:r>
        <w:t xml:space="preserve">1. </w:t>
      </w:r>
      <w:r>
        <w:t>Draft order created within 5 minutes of email receipt for 95% of POs.</w:t>
      </w:r>
    </w:p>
    <w:p>
      <w:pPr>
        <w:spacing w:after="60"/>
        <w:ind w:left="432"/>
      </w:pPr>
      <w:r>
        <w:t xml:space="preserve">2. </w:t>
      </w:r>
      <w:r>
        <w:t>Peak 300 emails per hour.</w:t>
      </w:r>
    </w:p>
    <w:p>
      <w:pPr>
        <w:spacing w:after="100"/>
      </w:pPr>
      <w:r>
        <w:rPr>
          <w:b/>
        </w:rPr>
        <w:t>Observability</w:t>
      </w:r>
      <w:r/>
    </w:p>
    <w:p>
      <w:pPr>
        <w:pStyle w:val="ListBullet"/>
        <w:spacing w:after="60"/>
      </w:pPr>
      <w:r>
        <w:t>End-to-end trace per email to SAP draft order number.</w:t>
      </w:r>
    </w:p>
    <w:p>
      <w:pPr>
        <w:pStyle w:val="Heading1"/>
      </w:pPr>
      <w:r>
        <w:t>9. System Integrations</w:t>
      </w:r>
    </w:p>
    <w:p>
      <w:pPr>
        <w:pStyle w:val="Heading2"/>
      </w:pPr>
      <w:r>
        <w:t>Identity &amp; Access</w:t>
      </w:r>
    </w:p>
    <w:p>
      <w:pPr>
        <w:spacing w:after="60"/>
        <w:ind w:left="432"/>
      </w:pPr>
      <w:r>
        <w:t xml:space="preserve">1. </w:t>
      </w:r>
      <w:r>
        <w:t>Azure AD.</w:t>
      </w:r>
    </w:p>
    <w:p>
      <w:pPr>
        <w:spacing w:after="100"/>
      </w:pPr>
      <w:r>
        <w:rPr>
          <w:b/>
        </w:rPr>
        <w:t>Enterprise Systems</w:t>
      </w:r>
      <w:r/>
    </w:p>
    <w:p>
      <w:pPr>
        <w:spacing w:after="60"/>
        <w:ind w:left="432"/>
      </w:pPr>
      <w:r>
        <w:t xml:space="preserve">– </w:t>
      </w:r>
      <w:r>
        <w:t>Branch mailboxes (Graph API); SAP S/4HANA sales order and pricing APIs via APIM.</w:t>
      </w:r>
    </w:p>
    <w:p>
      <w:pPr>
        <w:spacing w:after="100"/>
      </w:pPr>
      <w:r>
        <w:rPr>
          <w:b/>
        </w:rPr>
        <w:t>AI Services</w:t>
      </w:r>
      <w:r/>
    </w:p>
    <w:p>
      <w:pPr>
        <w:spacing w:after="60"/>
        <w:ind w:left="432"/>
      </w:pPr>
      <w:r>
        <w:t xml:space="preserve">1. </w:t>
      </w:r>
      <w:r>
        <w:t>Azure Document Intelligence, Azure OpenAI, Azure AI Search (catalog).</w:t>
      </w:r>
    </w:p>
    <w:p>
      <w:pPr>
        <w:spacing w:after="100"/>
      </w:pPr>
      <w:r>
        <w:rPr>
          <w:b/>
        </w:rPr>
        <w:t>Data &amp; Storage</w:t>
      </w:r>
      <w:r/>
    </w:p>
    <w:p>
      <w:pPr>
        <w:pStyle w:val="ListBullet"/>
        <w:spacing w:after="60"/>
      </w:pPr>
      <w:r>
        <w:t>Cosmos DB for order drafts; Blob Storage for emails.</w:t>
      </w:r>
    </w:p>
    <w:p>
      <w:pPr>
        <w:spacing w:after="100"/>
      </w:pPr>
      <w:r>
        <w:rPr>
          <w:b/>
        </w:rPr>
        <w:t>Orchestration</w:t>
      </w:r>
      <w:r/>
    </w:p>
    <w:p>
      <w:pPr>
        <w:spacing w:after="60"/>
        <w:ind w:left="432"/>
      </w:pPr>
      <w:r>
        <w:t xml:space="preserve">– </w:t>
      </w:r>
      <w:r>
        <w:t>Event Grid on new mail, Service Bus for processing steps.</w:t>
      </w:r>
    </w:p>
    <w:p>
      <w:pPr>
        <w:pStyle w:val="Heading1"/>
      </w:pPr>
      <w:r>
        <w:t>10. Technical Overview</w:t>
      </w:r>
    </w:p>
    <w:p>
      <w:pPr>
        <w:spacing w:after="100"/>
      </w:pPr>
      <w:r>
        <w:t>See P07_Email_Order_Entry_Architecture.png.</w:t>
      </w:r>
    </w:p>
    <w:p>
      <w:pPr>
        <w:pStyle w:val="Heading1"/>
      </w:pPr>
      <w:r>
        <w:t>11. Data Sources</w:t>
      </w:r>
    </w:p>
    <w:p>
      <w:pPr>
        <w:spacing w:after="100"/>
      </w:pPr>
      <w:r>
        <w:t>Data includes PO emails, customer cross-references, catalog index, SAP master data and draft orders.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/>
            <w:r>
              <w:rPr>
                <w:b/>
              </w:rPr>
              <w:t>Data</w:t>
            </w:r>
          </w:p>
        </w:tc>
        <w:tc>
          <w:tcPr>
            <w:tcW w:type="dxa" w:w="1560"/>
          </w:tcPr>
          <w:p>
            <w:r/>
            <w:r>
              <w:rPr>
                <w:b/>
              </w:rPr>
              <w:t>Description</w:t>
            </w:r>
          </w:p>
        </w:tc>
        <w:tc>
          <w:tcPr>
            <w:tcW w:type="dxa" w:w="1560"/>
          </w:tcPr>
          <w:p>
            <w:r/>
            <w:r>
              <w:rPr>
                <w:b/>
              </w:rPr>
              <w:t>Source</w:t>
            </w:r>
          </w:p>
        </w:tc>
        <w:tc>
          <w:tcPr>
            <w:tcW w:type="dxa" w:w="1560"/>
          </w:tcPr>
          <w:p>
            <w:r/>
            <w:r>
              <w:rPr>
                <w:b/>
              </w:rPr>
              <w:t>Frequency</w:t>
            </w:r>
          </w:p>
        </w:tc>
        <w:tc>
          <w:tcPr>
            <w:tcW w:type="dxa" w:w="1560"/>
          </w:tcPr>
          <w:p>
            <w:r/>
            <w:r>
              <w:rPr>
                <w:b/>
              </w:rPr>
              <w:t>Owner</w:t>
            </w:r>
          </w:p>
        </w:tc>
        <w:tc>
          <w:tcPr>
            <w:tcW w:type="dxa" w:w="1560"/>
          </w:tcPr>
          <w:p>
            <w:r/>
            <w:r>
              <w:rPr>
                <w:b/>
              </w:rPr>
              <w:t>Security</w:t>
            </w:r>
          </w:p>
        </w:tc>
      </w:tr>
      <w:tr>
        <w:tc>
          <w:tcPr>
            <w:tcW w:type="dxa" w:w="1560"/>
          </w:tcPr>
          <w:p>
            <w:r>
              <w:t>PO emails</w:t>
            </w:r>
          </w:p>
        </w:tc>
        <w:tc>
          <w:tcPr>
            <w:tcW w:type="dxa" w:w="1560"/>
          </w:tcPr>
          <w:p>
            <w:r>
              <w:t>Body and attachments</w:t>
            </w:r>
          </w:p>
        </w:tc>
        <w:tc>
          <w:tcPr>
            <w:tcW w:type="dxa" w:w="1560"/>
          </w:tcPr>
          <w:p>
            <w:r>
              <w:t>Branch mailboxes</w:t>
            </w:r>
          </w:p>
        </w:tc>
        <w:tc>
          <w:tcPr>
            <w:tcW w:type="dxa" w:w="1560"/>
          </w:tcPr>
          <w:p>
            <w:r>
              <w:t>Continuous</w:t>
            </w:r>
          </w:p>
        </w:tc>
        <w:tc>
          <w:tcPr>
            <w:tcW w:type="dxa" w:w="1560"/>
          </w:tcPr>
          <w:p>
            <w:r>
              <w:t>Customer Service</w:t>
            </w:r>
          </w:p>
        </w:tc>
        <w:tc>
          <w:tcPr>
            <w:tcW w:type="dxa" w:w="1560"/>
          </w:tcPr>
          <w:p>
            <w:r>
              <w:t>Confidential</w:t>
            </w:r>
          </w:p>
        </w:tc>
      </w:tr>
      <w:tr>
        <w:tc>
          <w:tcPr>
            <w:tcW w:type="dxa" w:w="1560"/>
          </w:tcPr>
          <w:p>
            <w:r>
              <w:t>Customer cross-reference</w:t>
            </w:r>
          </w:p>
        </w:tc>
        <w:tc>
          <w:tcPr>
            <w:tcW w:type="dxa" w:w="1560"/>
          </w:tcPr>
          <w:p>
            <w:r>
              <w:t>Customer part to material</w:t>
            </w:r>
          </w:p>
        </w:tc>
        <w:tc>
          <w:tcPr>
            <w:tcW w:type="dxa" w:w="1560"/>
          </w:tcPr>
          <w:p>
            <w:r>
              <w:t>CS Admin upload</w:t>
            </w:r>
          </w:p>
        </w:tc>
        <w:tc>
          <w:tcPr>
            <w:tcW w:type="dxa" w:w="1560"/>
          </w:tcPr>
          <w:p>
            <w:r>
              <w:t>Monthly</w:t>
            </w:r>
          </w:p>
        </w:tc>
        <w:tc>
          <w:tcPr>
            <w:tcW w:type="dxa" w:w="1560"/>
          </w:tcPr>
          <w:p>
            <w:r>
              <w:t>Customer Service</w:t>
            </w:r>
          </w:p>
        </w:tc>
        <w:tc>
          <w:tcPr>
            <w:tcW w:type="dxa" w:w="1560"/>
          </w:tcPr>
          <w:p>
            <w:r>
              <w:t>Internal</w:t>
            </w:r>
          </w:p>
        </w:tc>
      </w:tr>
      <w:tr>
        <w:tc>
          <w:tcPr>
            <w:tcW w:type="dxa" w:w="1560"/>
          </w:tcPr>
          <w:p>
            <w:r>
              <w:t>SAP master data</w:t>
            </w:r>
          </w:p>
        </w:tc>
        <w:tc>
          <w:tcPr>
            <w:tcW w:type="dxa" w:w="1560"/>
          </w:tcPr>
          <w:p>
            <w:r>
              <w:t>Customers, materials, prices</w:t>
            </w:r>
          </w:p>
        </w:tc>
        <w:tc>
          <w:tcPr>
            <w:tcW w:type="dxa" w:w="1560"/>
          </w:tcPr>
          <w:p>
            <w:r>
              <w:t>SAP</w:t>
            </w:r>
          </w:p>
        </w:tc>
        <w:tc>
          <w:tcPr>
            <w:tcW w:type="dxa" w:w="1560"/>
          </w:tcPr>
          <w:p>
            <w:r>
              <w:t>On demand</w:t>
            </w:r>
          </w:p>
        </w:tc>
        <w:tc>
          <w:tcPr>
            <w:tcW w:type="dxa" w:w="1560"/>
          </w:tcPr>
          <w:p>
            <w:r>
              <w:t>Master Data</w:t>
            </w:r>
          </w:p>
        </w:tc>
        <w:tc>
          <w:tcPr>
            <w:tcW w:type="dxa" w:w="1560"/>
          </w:tcPr>
          <w:p>
            <w:r>
              <w:t>Confidential</w:t>
            </w:r>
          </w:p>
        </w:tc>
      </w:tr>
      <w:tr>
        <w:tc>
          <w:tcPr>
            <w:tcW w:type="dxa" w:w="1560"/>
          </w:tcPr>
          <w:p>
            <w:r>
              <w:t>Draft orders</w:t>
            </w:r>
          </w:p>
        </w:tc>
        <w:tc>
          <w:tcPr>
            <w:tcW w:type="dxa" w:w="1560"/>
          </w:tcPr>
          <w:p>
            <w:r>
              <w:t>Header, lines, confidence</w:t>
            </w:r>
          </w:p>
        </w:tc>
        <w:tc>
          <w:tcPr>
            <w:tcW w:type="dxa" w:w="1560"/>
          </w:tcPr>
          <w:p>
            <w:r>
              <w:t>Tool output</w:t>
            </w:r>
          </w:p>
        </w:tc>
        <w:tc>
          <w:tcPr>
            <w:tcW w:type="dxa" w:w="1560"/>
          </w:tcPr>
          <w:p>
            <w:r>
              <w:t>Per email</w:t>
            </w:r>
          </w:p>
        </w:tc>
        <w:tc>
          <w:tcPr>
            <w:tcW w:type="dxa" w:w="1560"/>
          </w:tcPr>
          <w:p>
            <w:r>
              <w:t>Customer Service</w:t>
            </w:r>
          </w:p>
        </w:tc>
        <w:tc>
          <w:tcPr>
            <w:tcW w:type="dxa" w:w="1560"/>
          </w:tcPr>
          <w:p>
            <w:r>
              <w:t>Confidential</w:t>
            </w:r>
          </w:p>
        </w:tc>
      </w:tr>
    </w:tbl>
    <w:p/>
    <w:p>
      <w:pPr>
        <w:spacing w:after="60"/>
        <w:ind w:left="432"/>
      </w:pPr>
      <w:r>
        <w:t xml:space="preserve">– </w:t>
      </w:r>
      <w:r>
        <w:rPr>
          <w:b w:val="0"/>
        </w:rPr>
        <w:t xml:space="preserve">Quality checks: </w:t>
      </w:r>
      <w:r>
        <w:t>Mandatory header fields, line quantity &gt; 0, UoM valid in SAP</w:t>
      </w:r>
    </w:p>
    <w:p>
      <w:pPr>
        <w:spacing w:after="60"/>
        <w:ind w:left="432"/>
      </w:pPr>
      <w:r>
        <w:t xml:space="preserve">– </w:t>
      </w:r>
      <w:r>
        <w:rPr>
          <w:b/>
        </w:rPr>
        <w:t xml:space="preserve">RBAC: </w:t>
      </w:r>
      <w:r>
        <w:t>CSRs see queues for their branches only</w:t>
      </w:r>
    </w:p>
    <w:p>
      <w:pPr>
        <w:pStyle w:val="Heading1"/>
      </w:pPr>
      <w:r>
        <w:t>12. Logging and Monitoring</w:t>
      </w:r>
    </w:p>
    <w:p>
      <w:pPr>
        <w:spacing w:after="60"/>
        <w:ind w:left="432"/>
      </w:pPr>
      <w:r>
        <w:t xml:space="preserve">1. </w:t>
      </w:r>
      <w:r>
        <w:t>Emails processed, draft accuracy, CSR correction rate, time to draft</w:t>
      </w:r>
    </w:p>
    <w:p>
      <w:pPr>
        <w:spacing w:after="100"/>
      </w:pPr>
      <w:r>
        <w:t>(TBD – pending SME review)</w:t>
      </w:r>
    </w:p>
    <w:p>
      <w:pPr>
        <w:pStyle w:val="Heading1"/>
      </w:pPr>
      <w:r>
        <w:t>13. Security &amp; Compliance</w:t>
      </w:r>
    </w:p>
    <w:p>
      <w:pPr>
        <w:spacing w:after="60"/>
        <w:ind w:left="432"/>
      </w:pPr>
      <w:r>
        <w:t xml:space="preserve">– </w:t>
      </w:r>
      <w:r>
        <w:t>AI Governance Council approval; customer data confidential</w:t>
      </w:r>
    </w:p>
    <w:p>
      <w:pPr>
        <w:pStyle w:val="Heading1"/>
      </w:pPr>
      <w:r>
        <w:t>14. Constraints and Assumptions</w:t>
      </w:r>
    </w:p>
    <w:p>
      <w:pPr>
        <w:pStyle w:val="ListBullet"/>
        <w:spacing w:after="60"/>
      </w:pPr>
      <w:r>
        <w:t>Customers send one PO per email in most cases</w:t>
      </w:r>
    </w:p>
    <w:p>
      <w:pPr>
        <w:pStyle w:val="ListBullet"/>
        <w:spacing w:after="60"/>
      </w:pPr>
      <w:r>
        <w:t>Cross-reference files exist for top 200 customers</w:t>
      </w:r>
    </w:p>
    <w:p>
      <w:pPr>
        <w:pStyle w:val="Heading1"/>
      </w:pPr>
      <w:r>
        <w:t>15. Dependencies</w:t>
      </w:r>
    </w:p>
    <w:p>
      <w:pPr>
        <w:spacing w:after="60"/>
        <w:ind w:left="432"/>
      </w:pPr>
      <w:r>
        <w:t xml:space="preserve">– </w:t>
      </w:r>
      <w:r>
        <w:t>SAP integration team</w:t>
      </w:r>
    </w:p>
    <w:p>
      <w:pPr>
        <w:spacing w:after="60"/>
        <w:ind w:left="432"/>
      </w:pPr>
      <w:r>
        <w:t xml:space="preserve">– </w:t>
      </w:r>
      <w:r>
        <w:t>Mailbox access approval</w:t>
      </w:r>
    </w:p>
    <w:p>
      <w:pPr>
        <w:spacing w:after="60"/>
        <w:ind w:left="432"/>
      </w:pPr>
      <w:r>
        <w:t xml:space="preserve">– </w:t>
      </w:r>
      <w:r>
        <w:t>CS branches for UAT</w:t>
      </w:r>
    </w:p>
    <w:p>
      <w:pPr>
        <w:spacing w:after="100"/>
      </w:pPr>
      <w:r>
        <w:t>Note: to be validated with the backend architects.</w:t>
      </w:r>
    </w:p>
    <w:p>
      <w:pPr>
        <w:pStyle w:val="Heading1"/>
      </w:pPr>
      <w:r>
        <w:t>16. High-Level Plan</w:t>
      </w:r>
    </w:p>
    <w:p>
      <w:pPr>
        <w:spacing w:after="60"/>
        <w:ind w:left="432"/>
      </w:pPr>
      <w:r>
        <w:t xml:space="preserve">1. </w:t>
      </w:r>
      <w:r>
        <w:t>MVP1: Apr–Jul 2026</w:t>
      </w:r>
    </w:p>
    <w:p>
      <w:pPr>
        <w:spacing w:after="60"/>
        <w:ind w:left="432"/>
      </w:pPr>
      <w:r>
        <w:t xml:space="preserve">2. </w:t>
      </w:r>
      <w:r>
        <w:t>MVP2: Q4 2026</w:t>
      </w:r>
    </w:p>
    <w:p>
      <w:pPr>
        <w:pStyle w:val="Heading1"/>
      </w:pPr>
      <w:r>
        <w:t>17. Acceptance Criteria</w:t>
      </w:r>
    </w:p>
    <w:p>
      <w:pPr>
        <w:pStyle w:val="ListBullet"/>
        <w:spacing w:after="60"/>
      </w:pPr>
      <w:r>
        <w:t>≥95% header field accuracy and ≥90% line accuracy on pilot customers</w:t>
      </w:r>
    </w:p>
    <w:p>
      <w:pPr>
        <w:pStyle w:val="ListBullet"/>
        <w:spacing w:after="60"/>
      </w:pPr>
      <w:r>
        <w:t>Draft within 5 minutes for 95% of POs</w:t>
      </w:r>
    </w:p>
    <w:p>
      <w:pPr>
        <w:pStyle w:val="ListBullet"/>
        <w:spacing w:after="60"/>
      </w:pPr>
      <w:r>
        <w:t>No orders released without CSR action in MVP1</w:t>
      </w:r>
    </w:p>
    <w:p>
      <w:pPr>
        <w:pStyle w:val="ListBullet"/>
        <w:spacing w:after="60"/>
      </w:pPr>
      <w:r>
        <w:t>Duplicate POs detected 100% in test set</w:t>
      </w:r>
    </w:p>
    <w:p>
      <w:pPr>
        <w:pStyle w:val="Heading1"/>
      </w:pPr>
      <w:r>
        <w:t>18. Key Risks</w:t>
      </w:r>
    </w:p>
    <w:tbl>
      <w:tblPr>
        <w:tblStyle w:val="MediumShading1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b/>
              </w:rPr>
              <w:t>Risk</w:t>
            </w:r>
          </w:p>
        </w:tc>
        <w:tc>
          <w:tcPr>
            <w:tcW w:type="dxa" w:w="4680"/>
          </w:tcPr>
          <w:p>
            <w:r/>
            <w:r>
              <w:rPr>
                <w:b/>
              </w:rPr>
              <w:t>Mitigation</w:t>
            </w:r>
          </w:p>
        </w:tc>
      </w:tr>
      <w:tr>
        <w:tc>
          <w:tcPr>
            <w:tcW w:type="dxa" w:w="4680"/>
          </w:tcPr>
          <w:p>
            <w:r>
              <w:t>Unusual PO layouts</w:t>
            </w:r>
          </w:p>
        </w:tc>
        <w:tc>
          <w:tcPr>
            <w:tcW w:type="dxa" w:w="4680"/>
          </w:tcPr>
          <w:p>
            <w:r>
              <w:t>CSR review and confidence flags</w:t>
            </w:r>
          </w:p>
        </w:tc>
      </w:tr>
      <w:tr>
        <w:tc>
          <w:tcPr>
            <w:tcW w:type="dxa" w:w="4680"/>
          </w:tcPr>
          <w:p>
            <w:r>
              <w:t>Missing cross-references</w:t>
            </w:r>
          </w:p>
        </w:tc>
        <w:tc>
          <w:tcPr>
            <w:tcW w:type="dxa" w:w="4680"/>
          </w:tcPr>
          <w:p>
            <w:r>
              <w:t>Catalog search fallback</w:t>
            </w:r>
          </w:p>
        </w:tc>
      </w:tr>
      <w:tr>
        <w:tc>
          <w:tcPr>
            <w:tcW w:type="dxa" w:w="4680"/>
          </w:tcPr>
          <w:p>
            <w:r>
              <w:t>SAP API limits</w:t>
            </w:r>
          </w:p>
        </w:tc>
        <w:tc>
          <w:tcPr>
            <w:tcW w:type="dxa" w:w="4680"/>
          </w:tcPr>
          <w:p>
            <w:r>
              <w:t>Queueing and retry</w:t>
            </w:r>
          </w:p>
        </w:tc>
      </w:tr>
    </w:tbl>
    <w:p/>
    <w:p>
      <w:pPr>
        <w:pStyle w:val="Heading1"/>
      </w:pPr>
      <w:r>
        <w:t>19. ROI</w:t>
      </w:r>
    </w:p>
    <w:p>
      <w:pPr>
        <w:spacing w:after="60"/>
        <w:ind w:left="432"/>
      </w:pPr>
      <w:r>
        <w:t xml:space="preserve">1. </w:t>
      </w:r>
      <w:r>
        <w:t>CSR hours saved</w:t>
      </w:r>
    </w:p>
    <w:p>
      <w:pPr>
        <w:spacing w:after="60"/>
        <w:ind w:left="432"/>
      </w:pPr>
      <w:r>
        <w:t xml:space="preserve">2. </w:t>
      </w:r>
      <w:r>
        <w:t>Error-related returns avoided</w:t>
      </w:r>
    </w:p>
    <w:p>
      <w:pPr>
        <w:pStyle w:val="Heading1"/>
      </w:pPr>
      <w:r>
        <w:t>20. Approvals</w:t>
      </w:r>
    </w:p>
    <w:p>
      <w:pPr>
        <w:spacing w:after="100"/>
      </w:pPr>
      <w:r>
        <w:t>AI Governance Council. Finance (BIR). AI intake. Global Intake. C2P. WAB.</w:t>
      </w:r>
    </w:p>
    <w:p>
      <w:pPr>
        <w:pStyle w:val="Heading1"/>
      </w:pPr>
      <w:r>
        <w:t>Appendix</w:t>
      </w:r>
    </w:p>
    <w:p>
      <w:pPr>
        <w:spacing w:after="100"/>
      </w:pPr>
      <w:r>
        <w:rPr>
          <w:b/>
        </w:rPr>
        <w:t>Email Order Entry MVP1 Scope Overview</w:t>
      </w:r>
      <w:r/>
    </w:p>
    <w:p>
      <w:pPr>
        <w:spacing w:after="100"/>
      </w:pPr>
      <w:r>
        <w:rPr>
          <w:b/>
        </w:rPr>
        <w:t>What's included</w:t>
      </w:r>
      <w:r/>
    </w:p>
    <w:p>
      <w:pPr>
        <w:spacing w:after="60"/>
        <w:ind w:left="432"/>
      </w:pPr>
      <w:r>
        <w:t xml:space="preserve">– </w:t>
      </w:r>
      <w:r>
        <w:rPr>
          <w:b/>
        </w:rPr>
        <w:t xml:space="preserve">PO Intake – </w:t>
      </w:r>
      <w:r>
        <w:t>Mailbox monitoring and duplicate check.</w:t>
      </w:r>
    </w:p>
    <w:p>
      <w:pPr>
        <w:spacing w:after="60"/>
        <w:ind w:left="432"/>
      </w:pPr>
      <w:r>
        <w:t xml:space="preserve">– </w:t>
      </w:r>
      <w:r>
        <w:rPr>
          <w:b/>
        </w:rPr>
        <w:t xml:space="preserve">Extraction and Matching – </w:t>
      </w:r>
      <w:r>
        <w:t>Header, lines and item matching.</w:t>
      </w:r>
    </w:p>
    <w:p>
      <w:pPr>
        <w:spacing w:after="60"/>
        <w:ind w:left="432"/>
      </w:pPr>
      <w:r>
        <w:t xml:space="preserve">– </w:t>
      </w:r>
      <w:r>
        <w:rPr>
          <w:b/>
        </w:rPr>
        <w:t xml:space="preserve">SAP Draft Order: </w:t>
      </w:r>
      <w:r>
        <w:t>Validation and draft creation for review.</w:t>
      </w:r>
    </w:p>
    <w:p>
      <w:pPr>
        <w:spacing w:after="100"/>
      </w:pPr>
      <w:r>
        <w:rPr>
          <w:b/>
        </w:rPr>
        <w:t>Process flow:</w:t>
      </w:r>
      <w:r/>
    </w:p>
    <w:p>
      <w:pPr>
        <w:spacing w:after="60"/>
        <w:ind w:left="432"/>
      </w:pPr>
      <w:r>
        <w:t>Step 1: PO email arrives.</w:t>
      </w:r>
    </w:p>
    <w:p>
      <w:pPr>
        <w:spacing w:after="60"/>
        <w:ind w:left="432"/>
      </w:pPr>
      <w:r>
        <w:t>Step 2: Data extracted.</w:t>
      </w:r>
    </w:p>
    <w:p>
      <w:pPr>
        <w:spacing w:after="60"/>
        <w:ind w:left="432"/>
      </w:pPr>
      <w:r>
        <w:t>Step 3: Customer and items matched.</w:t>
      </w:r>
    </w:p>
    <w:p>
      <w:pPr>
        <w:spacing w:after="60"/>
        <w:ind w:left="432"/>
      </w:pPr>
      <w:r>
        <w:t>Step 4: SAP validation.</w:t>
      </w:r>
    </w:p>
    <w:p>
      <w:pPr>
        <w:spacing w:after="60"/>
        <w:ind w:left="432"/>
      </w:pPr>
      <w:r>
        <w:t>Step 5: Draft order in CSR queue.</w:t>
      </w:r>
    </w:p>
    <w:p>
      <w:pPr>
        <w:spacing w:after="100"/>
      </w:pPr>
      <w:r>
        <w:rPr>
          <w:b/>
        </w:rPr>
        <w:t>Data sources for MVP:</w:t>
      </w:r>
      <w:r/>
    </w:p>
    <w:p>
      <w:pPr>
        <w:pStyle w:val="ListBullet"/>
        <w:spacing w:after="60"/>
      </w:pPr>
      <w:r>
        <w:t>PO emails</w:t>
      </w:r>
    </w:p>
    <w:p>
      <w:pPr>
        <w:pStyle w:val="ListBullet"/>
        <w:spacing w:after="60"/>
      </w:pPr>
      <w:r>
        <w:t>Cross-reference files</w:t>
      </w:r>
    </w:p>
    <w:p>
      <w:pPr>
        <w:pStyle w:val="ListBullet"/>
        <w:spacing w:after="60"/>
      </w:pPr>
      <w:r>
        <w:t>SAP master data</w:t>
      </w:r>
    </w:p>
    <w:p>
      <w:pPr>
        <w:spacing w:after="100"/>
      </w:pPr>
      <w:r>
        <w:rPr>
          <w:b/>
        </w:rPr>
        <w:t>Access and Security:</w:t>
      </w:r>
      <w:r/>
    </w:p>
    <w:p>
      <w:pPr>
        <w:pStyle w:val="ListBullet"/>
        <w:spacing w:after="60"/>
      </w:pPr>
      <w:r>
        <w:t>Azure AD</w:t>
      </w:r>
    </w:p>
    <w:p>
      <w:pPr>
        <w:pStyle w:val="ListBullet"/>
        <w:spacing w:after="60"/>
      </w:pPr>
      <w:r>
        <w:t>Branch-based access</w:t>
      </w:r>
    </w:p>
    <w:p>
      <w:pPr>
        <w:spacing w:after="100"/>
      </w:pPr>
      <w:r>
        <w:rPr>
          <w:b/>
        </w:rPr>
        <w:t>Exclusions</w:t>
      </w:r>
      <w:r/>
    </w:p>
    <w:p>
      <w:pPr>
        <w:spacing w:after="100"/>
      </w:pPr>
      <w:r>
        <w:t>No straight-through release. No acknowledgements. No EDI handling. No analytics.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 w:eastAsia="Segoe U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egoe UI" w:hAnsi="Segoe U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egoe UI" w:hAnsi="Segoe U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egoe UI" w:hAnsi="Segoe UI"/>
      <w:b/>
      <w:bCs/>
      <w:color w:val="2E74B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