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0763B"/>
          <w:sz w:val="52"/>
          <w:szCs w:val="52"/>
        </w:rPr>
        <w:t xml:space="preserve">CHAINWORK</w:t>
      </w:r>
    </w:p>
    <w:p>
      <w:pPr>
        <w:spacing w:after="60"/>
        <w:jc w:val="center"/>
      </w:pPr>
      <w:r>
        <w:rPr>
          <w:sz w:val="26"/>
          <w:szCs w:val="26"/>
        </w:rPr>
        <w:t xml:space="preserve">Demo &amp; Testing Accounts — Credentials, Cases and Roadmap</w:t>
      </w:r>
    </w:p>
    <w:p>
      <w:pPr>
        <w:pBdr>
          <w:bottom w:val="single" w:color="B0763B" w:sz="6"/>
        </w:pBdr>
        <w:spacing w:after="240"/>
        <w:jc w:val="center"/>
      </w:pPr>
      <w:r>
        <w:rPr>
          <w:i/>
          <w:iCs/>
          <w:color w:val="666666"/>
          <w:sz w:val="19"/>
          <w:szCs w:val="19"/>
        </w:rPr>
        <w:t xml:space="preserve">Generated 20 July 2026 · TESTNET ONLY — no real money anywhere in this document</w:t>
      </w:r>
    </w:p>
    <w:p>
      <w:pPr>
        <w:pStyle w:val="Heading1"/>
        <w:spacing w:after="140" w:before="320"/>
      </w:pPr>
      <w:r>
        <w:rPr>
          <w:color w:val="B0763B"/>
        </w:rPr>
        <w:t xml:space="preserve">1. How these accounts work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Every account below is an ordinary database row — change details or delete them exactly like a real user (admin console, Prisma Studio, or scripts/seed-demo-accounts.mjs which is idempotent and safe to re-run after a db:reset).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All consumer passwords are “password123”. All admin passwords are “admin123” + the 2FA code printed to the dev-server console at login.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The login id is the email (phone also works for consumer accounts).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Construction &amp; Repair is intentionally the one domain with NO seeded workers — it demos the “be the first” empty state.</w:t>
      </w:r>
    </w:p>
    <w:p>
      <w:pPr>
        <w:pStyle w:val="Heading1"/>
        <w:spacing w:after="140" w:before="320"/>
      </w:pPr>
      <w:r>
        <w:rPr>
          <w:color w:val="B0763B"/>
        </w:rPr>
        <w:t xml:space="preserve">2. Demo currency — ₹40,000 per account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Every wallet carries a ₹40,000 demo credit (Wallet.demoCredit). It shows in the balance with an “incl. demo credit — not withdrawable” label and behaves under the same rules in demos.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Non-withdrawable by construction: the withdraw path only ever moves the real on-chain balance, and demo credit never exists on-chain. There is no code path that can pay it 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Real escrow flows (fund → deliver → approve → release) still run on the local/test chain's mock stablecoin — itself worthless test money.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To change the amount: UPDATE “Wallet” SET “demoCredit” = &lt;value&gt;; or edit DEMO_CREDIT in the seeder and re-run.</w:t>
      </w:r>
    </w:p>
    <w:p>
      <w:pPr>
        <w:pStyle w:val="Heading1"/>
        <w:spacing w:after="140" w:before="320"/>
      </w:pPr>
      <w:r>
        <w:rPr>
          <w:color w:val="B0763B"/>
        </w:rPr>
        <w:t xml:space="preserve">3. Admin accounts (console: /admin/login)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1100"/>
        <w:gridCol w:w="1900"/>
        <w:gridCol w:w="2260"/>
      </w:tblGrid>
      <w:tr>
        <w:trPr>
          <w:tblHeader/>
        </w:trPr>
        <w:tc>
          <w:tcPr>
            <w:tcW w:type="dxa" w:w="18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9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 (email)</w:t>
            </w:r>
          </w:p>
        </w:tc>
        <w:tc>
          <w:tcPr>
            <w:tcW w:type="dxa" w:w="11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Password</w:t>
            </w:r>
          </w:p>
        </w:tc>
        <w:tc>
          <w:tcPr>
            <w:tcW w:type="dxa" w:w="19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26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Priya Sharma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moderation@chainwork.local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admin123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Moderation Officer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content/job moderation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Devika Rao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jury.lead@chainwork.local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admin123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Jury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sees only assigned cases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 Super Admin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root@chainwork.local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admin123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 Super Admin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Officer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verify@chainwork.local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admin123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(KYC)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 &amp; Compliance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finance@chainwork.local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admin123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 Agent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support@chainwork.local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admin123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analyst@chainwork.local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admin123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 (read-only)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</w:tr>
    </w:tbl>
    <w:p>
      <w:pPr>
        <w:spacing w:after="110"/>
      </w:pPr>
      <w:r>
        <w:rPr>
          <w:i/>
          <w:iCs/>
          <w:color w:val="666666"/>
          <w:sz w:val="21"/>
          <w:szCs w:val="21"/>
        </w:rPr>
        <w:t xml:space="preserve">2FA: every admin uses the shared dev TOTP secret; the current 6-digit code is printed in the dev-server console at each login attempt.</w:t>
      </w:r>
    </w:p>
    <w:p>
      <w:pPr>
        <w:pStyle w:val="Heading1"/>
        <w:spacing w:after="140" w:before="320"/>
      </w:pPr>
      <w:r>
        <w:rPr>
          <w:color w:val="B0763B"/>
        </w:rPr>
        <w:t xml:space="preserve">4. Jury — 14 members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Jurors are ordinary platform users (12 workers + 2 clients) who opted into jury duty; the Admin DB holds their juror profile (stake ₹1,000, ACTIVE) linked by platform id only. Log in with their consumer credentials; jury voting happens in the admin console via the Jury role.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60"/>
      </w:tblGrid>
      <w:tr>
        <w:trPr>
          <w:tblHeader/>
        </w:trPr>
        <w:tc>
          <w:tcPr>
            <w:tcW w:type="dxa" w:w="7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26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Juror (domain)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Aarav Mehta (Tech)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Sanya Kapoor (Tech)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Kabir Anand (Tech)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Neha Kulkarni (Tech)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Tanvi Desai (Tech)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Mahesh Yadav (Electrical)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Gopal Krishnan (Kitchen)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Kavita Reddy (Kitchen)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Shanti Bai (Cleaning)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Pooja Agarwal (Decoration)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Vijay Pillai (Driving)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Deepak Nair (Hospitality)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Nikhil Bansal (Client)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9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Sneha Patil (Client)</w:t>
            </w:r>
          </w:p>
        </w:tc>
      </w:tr>
    </w:tbl>
    <w:p>
      <w:pPr>
        <w:pStyle w:val="Heading1"/>
        <w:spacing w:after="140" w:before="320"/>
      </w:pPr>
      <w:r>
        <w:rPr>
          <w:color w:val="B0763B"/>
        </w:rPr>
        <w:t xml:space="preserve">5. Worker accounts — Tech &amp; Digital (10)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50"/>
        <w:gridCol w:w="1100"/>
        <w:gridCol w:w="2560"/>
        <w:gridCol w:w="1150"/>
        <w:gridCol w:w="900"/>
      </w:tblGrid>
      <w:tr>
        <w:trPr>
          <w:tblHeader/>
        </w:trPr>
        <w:tc>
          <w:tcPr>
            <w:tcW w:type="dxa" w:w="15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75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 (email)</w:t>
            </w:r>
          </w:p>
        </w:tc>
        <w:tc>
          <w:tcPr>
            <w:tcW w:type="dxa" w:w="11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Password</w:t>
            </w:r>
          </w:p>
        </w:tc>
        <w:tc>
          <w:tcPr>
            <w:tcW w:type="dxa" w:w="256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Roles</w:t>
            </w:r>
          </w:p>
        </w:tc>
        <w:tc>
          <w:tcPr>
            <w:tcW w:type="dxa" w:w="115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City</w:t>
            </w:r>
          </w:p>
        </w:tc>
        <w:tc>
          <w:tcPr>
            <w:tcW w:type="dxa" w:w="9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Juror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Aarav Mehta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aarav.mehta@chainwork.dev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Development, Web Design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Bengaluru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Sanya Kapoor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sanya.kapoor@chainwork.dev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UI/UX Design, Graphic Design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Pune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Rohan Verma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rohan.verma@chainwork.dev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App Development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Hyderabad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Ishita Joshi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ishita.joshi@chainwork.dev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Design, Graphic Design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Ahmedabad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Kabir Anand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kabir.anand@chainwork.dev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Development, IT Support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Delhi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Neha Kulkarni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neha.kulkarni@chainwork.dev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SEO &amp; Digital Marketing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Mumbai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Aditya Menon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aditya.menon@chainwork.dev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Support, Data Entry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Kochi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Tanvi Desai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tanvi.desai@chainwork.dev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Graphic Design, UI/UX Design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Surat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Farhan Shaikh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farhan.shaikh@chainwork.dev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Development, Mobile App Dev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Lucknow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Priyanka Iyer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priyanka.iyer@chainwork.dev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Entry, SEO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Chennai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1"/>
        <w:spacing w:after="140" w:before="320"/>
      </w:pPr>
      <w:r>
        <w:rPr>
          <w:color w:val="B0763B"/>
        </w:rPr>
        <w:t xml:space="preserve">6. Worker accounts — other domains (17)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750"/>
        <w:gridCol w:w="2960"/>
        <w:gridCol w:w="850"/>
      </w:tblGrid>
      <w:tr>
        <w:trPr>
          <w:tblHeader/>
        </w:trPr>
        <w:tc>
          <w:tcPr>
            <w:tcW w:type="dxa" w:w="19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15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75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 (email)</w:t>
            </w:r>
          </w:p>
        </w:tc>
        <w:tc>
          <w:tcPr>
            <w:tcW w:type="dxa" w:w="296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Roles</w:t>
            </w:r>
          </w:p>
        </w:tc>
        <w:tc>
          <w:tcPr>
            <w:tcW w:type="dxa" w:w="85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Juror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Electrical &amp; Appliances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Mahesh Yadav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mahesh.yadav@chainwork.dev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 Repair, Electrician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Electrical &amp; Appliances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Sunil Kumar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sunil.kumar@chainwork.dev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Washing Machine + Refrigerator Repair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Electrical &amp; Appliances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Rekha Devi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rekha.devi@chainwork.dev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Fan &amp; Cooler Repair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Electrical &amp; Appliances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Imtiaz Ali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imtiaz.ali@chainwork.dev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Wiring, Panel Installation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Kitchen &amp; Catering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Gopal Krishnan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gopal.krishnan@chainwork.dev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Chef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Kitchen &amp; Catering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Anita Sharma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anita.sharma@chainwork.dev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Cook, Kitchen Helper (Commis)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Kitchen &amp; Catering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Joseph D'Souza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joseph.dsouza@chainwork.dev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Baker, Barista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Kitchen &amp; Catering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Kavita Reddy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kavita.reddy@chainwork.dev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Catering, Cook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Shanti Bai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shanti.bai@chainwork.dev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Housekeeping, Pest Control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Ramu Naik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ramu.naik@chainwork.dev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Decoration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Pooja Agarwal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pooja.agarwal@chainwork.dev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 Decor, Decorator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Decoration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Salim Sheikh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salim.sheikh@chainwork.dev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Painter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Driving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Vijay Pillai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vijay.pillai@chainwork.dev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Driver, Delivery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Hospitality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Deepak Nair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deepak.nair@chainwork.dev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Hospitality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Asha Kumari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asha.kumari@chainwork.dev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 Staff, Helper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Hospitality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Manoj Tiwari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manoj.tiwari@chainwork.dev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Waiter, Event Staff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Hospitality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Rita Fernandes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rita.fernandes@chainwork.dev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10"/>
      </w:pPr>
      <w:r>
        <w:rPr>
          <w:color w:val="666666"/>
          <w:sz w:val="21"/>
          <w:szCs w:val="21"/>
        </w:rPr>
        <w:t xml:space="preserve">Plus the original seed workers (Ravi Kumar — ravi@chainwork.dev, Suresh Patel, Lakshmi Rao, Meena Nair, Arjun Singh...), same password.</w:t>
      </w:r>
    </w:p>
    <w:p>
      <w:pPr>
        <w:pStyle w:val="Heading1"/>
        <w:spacing w:after="140" w:before="320"/>
      </w:pPr>
      <w:r>
        <w:rPr>
          <w:color w:val="B0763B"/>
        </w:rPr>
        <w:t xml:space="preserve">7. Client accounts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50"/>
        <w:gridCol w:w="1150"/>
        <w:gridCol w:w="3160"/>
        <w:gridCol w:w="1000"/>
      </w:tblGrid>
      <w:tr>
        <w:trPr>
          <w:tblHeader/>
        </w:trPr>
        <w:tc>
          <w:tcPr>
            <w:tcW w:type="dxa" w:w="19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75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 (email)</w:t>
            </w:r>
          </w:p>
        </w:tc>
        <w:tc>
          <w:tcPr>
            <w:tcW w:type="dxa" w:w="115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Password</w:t>
            </w:r>
          </w:p>
        </w:tc>
        <w:tc>
          <w:tcPr>
            <w:tcW w:type="dxa" w:w="316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Jury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Nikhil Bansal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nikhil.bansal@chainwork.dev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Juror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Sneha Patil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sneha.patil@chainwork.dev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Juror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Ankit Gupta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technova@chainwork.dev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— TechNova Solutions Pvt Ltd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Maria Thomas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grandstay@chainwork.dev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— GrandStay Hotels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Imran K. (seed)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imran@chainwork.dev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R. Events &amp; Decor (seed)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events@chainwork.dev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40" w:before="320"/>
      </w:pPr>
      <w:r>
        <w:rPr>
          <w:color w:val="B0763B"/>
        </w:rPr>
        <w:t xml:space="preserve">8. Ongoing cases (live right now)</w:t>
      </w:r>
    </w:p>
    <w:p>
      <w:pPr>
        <w:pStyle w:val="Heading2"/>
        <w:spacing w:after="100" w:before="260"/>
      </w:pPr>
      <w:r>
        <w:t xml:space="preserve">Case A — raised by a WORKER (escalated to jury)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TechNova Solutions vs Aarav Mehta — “Company website revamp”, phase “Build &amp; launch” ₹12,000, DISPUTED.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Complaint (PAYMENT): site delivered and demoed, client confirmed in chat but refuses approval. Escalated → STANDARD tier, 5-juror panel, status COMMIT (3 of 5 committed).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To finish the demo, reveal with: juror 1 RELEASE_WORKER / salt demo-salt-1; juror 2 RELEASE_WORKER / demo-salt-2; juror 3 SPLIT 70% / demo-salt-3 (remaining two can commit live).</w:t>
      </w:r>
    </w:p>
    <w:p>
      <w:pPr>
        <w:pStyle w:val="Heading2"/>
        <w:spacing w:after="100" w:before="260"/>
      </w:pPr>
      <w:r>
        <w:t xml:space="preserve">Case B — raised by a CLIENT (escalated to jury)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Sneha Patil vs Kavita Reddy — “Wedding catering crew”, phase ₹4,500, DISPUTED.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Complaint (QUALITY): food far below the approved tasting sample. SMALL tier, 3-juror panel, status COMMIT (1 committed: SPLIT 40% / salt demo-salt-4).</w:t>
      </w:r>
    </w:p>
    <w:p>
      <w:pPr>
        <w:pStyle w:val="Heading2"/>
        <w:spacing w:after="100" w:before="260"/>
      </w:pPr>
      <w:r>
        <w:t xml:space="preserve">Cases C &amp; D — open complaints in triage (not yet escalated)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C: worker Deepak Nair vs GrandStay Hotels — CONDUCT (abusive floor manager, unpaid overtime). OPEN.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D: client Nikhil Bansal vs Salim Sheikh — NO-SHOW on “2BHK interior painting”, escrow funded and locked. OPEN.</w:t>
      </w:r>
    </w:p>
    <w:p>
      <w:pPr>
        <w:spacing w:after="110"/>
      </w:pPr>
      <w:r>
        <w:rPr>
          <w:i/>
          <w:iCs/>
          <w:color w:val="222222"/>
          <w:sz w:val="21"/>
          <w:szCs w:val="21"/>
        </w:rPr>
        <w:t xml:space="preserve">Both sides can raise tickets: A and C were filed by workers, B and D by clients — use them to demo the 4-lane triage (ADM-05) and the commit-reveal jury (ADM-12).</w:t>
      </w:r>
    </w:p>
    <w:p>
      <w:pPr>
        <w:pStyle w:val="Heading1"/>
        <w:spacing w:after="140" w:before="320"/>
      </w:pPr>
      <w:r>
        <w:rPr>
          <w:color w:val="B0763B"/>
        </w:rPr>
        <w:t xml:space="preserve">9. FUTURE FEATURE (do not forget): Username + UID</w:t>
      </w:r>
    </w:p>
    <w:p>
      <w:pPr>
        <w:spacing w:after="110"/>
      </w:pPr>
      <w:r>
        <w:rPr>
          <w:b/>
          <w:bCs/>
          <w:color w:val="222222"/>
          <w:sz w:val="21"/>
          <w:szCs w:val="21"/>
        </w:rPr>
        <w:t xml:space="preserve">Planned but NOT implemented yet — recorded here so it isn’t lost: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Username: a unique @handle chosen at signup (e.g. @aarav-dev), shown on profiles, reviews and chat instead of the raw name; vanity URL /w/@aarav-dev.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UID (User Identity Number): a short permanent numeric id (e.g. CW-100234) printed on the profile and every receipt/dispute — the number support and jurors reference instead of emails or phone numbers.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Admin console: search by UID; jury cases show UIDs instead of the current hash-based anonymous labels.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Rules to decide later: rename policy (once per 90 days?), reserved words, UID never reused after account deletion.</w:t>
      </w:r>
    </w:p>
    <w:p>
      <w:pPr>
        <w:pStyle w:val="Heading1"/>
        <w:spacing w:after="140" w:before="320"/>
      </w:pPr>
      <w:r>
        <w:rPr>
          <w:color w:val="B0763B"/>
        </w:rPr>
        <w:t xml:space="preserve">10. Phase-wise roadmap of this batch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2000"/>
      </w:tblGrid>
      <w:tr>
        <w:trPr>
          <w:tblHeader/>
        </w:trPr>
        <w:tc>
          <w:tcPr>
            <w:tcW w:type="dxa" w:w="10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696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Work</w:t>
            </w:r>
          </w:p>
        </w:tc>
        <w:tc>
          <w:tcPr>
            <w:tcW w:type="dxa" w:w="2000"/>
            <w:shd w:fill="F3E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 currency: Wallet.demoCredit ₹40k, balance display, non-withdrawable rule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Roster: 27 workers (10 tech; one non-tech domain left empty), 4 clients, 14 jurors, 2 admins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cases: 2 jury disputes (worker- and client-raised) + 2 open complaints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credentials document (docs/ChainWork_Demo_Accounts.docx)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Landing-page 3D polish + accessible animated buttons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 (future)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 + @handle + UID system (Section 9)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STARTED — remember!</w:t>
            </w:r>
          </w:p>
        </w:tc>
      </w:tr>
    </w:tbl>
    <w:p>
      <w:pPr>
        <w:spacing w:after="110"/>
      </w:pPr>
      <w:r>
        <w:rPr>
          <w:i/>
          <w:iCs/>
          <w:color w:val="666666"/>
          <w:sz w:val="21"/>
          <w:szCs w:val="21"/>
        </w:rPr>
        <w:t xml:space="preserve">Regenerate this file any time: the seeder script is the source of truth for accounts; this document mirrors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2026-07-19T21:47:05.476Z</dcterms:created>
  <dcterms:modified xsi:type="dcterms:W3CDTF">2026-07-19T21:47:05.477Z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