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A85F2E"/>
          <w:sz w:val="56"/>
          <w:szCs w:val="56"/>
        </w:rPr>
        <w:t xml:space="preserve">ChainWork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512"/>
          <w:sz w:val="34"/>
          <w:szCs w:val="34"/>
        </w:rPr>
        <w:t xml:space="preserve">Deployment Guide</w:t>
      </w:r>
    </w:p>
    <w:p>
      <w:pPr>
        <w:pBdr>
          <w:bottom w:val="single" w:color="A85F2E" w:sz="12"/>
        </w:pBdr>
        <w:spacing w:after="200"/>
      </w:pPr>
      <w:r>
        <w:rPr>
          <w:rFonts w:ascii="Calibri" w:cs="Calibri" w:eastAsia="Calibri" w:hAnsi="Calibri"/>
          <w:i/>
          <w:iCs/>
          <w:color w:val="575047"/>
          <w:sz w:val="22"/>
          <w:szCs w:val="22"/>
        </w:rPr>
        <w:t xml:space="preserve">App + smart-contract deployment, environment files, and step-by-step release — testnet only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1. What actually deploys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ChainWork is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one full-stack Next.js 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(the “frontend” UI and the “backend” — server actions, the cron API, Prisma data access — run in the same process), plus a separate blockchain layer. There are four moving parts: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 / where it runs</w:t>
            </w:r>
          </w:p>
        </w:tc>
      </w:tr>
      <w:tr>
        <w:tc>
          <w:tcPr>
            <w:tcW w:type="dxa" w:w="3000"/>
            <w:shd w:fill="F4EEE5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Web app</w:t>
            </w:r>
          </w:p>
        </w:tc>
        <w:tc>
          <w:tcPr>
            <w:tcW w:type="dxa" w:w="6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Next.js 16 / React 19. Serves the UI and runs all server logic. Deploy to Vercel (recommended) or a Node host / container. Uses ONE .env (all values are server-side; there are no NEXT_PUBLIC_ secrets).</w:t>
            </w:r>
          </w:p>
        </w:tc>
      </w:tr>
      <w:tr>
        <w:tc>
          <w:tcPr>
            <w:tcW w:type="dxa" w:w="3000"/>
            <w:shd w:fill="F4EEE5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Platform DB</w:t>
            </w:r>
          </w:p>
        </w:tc>
        <w:tc>
          <w:tcPr>
            <w:tcW w:type="dxa" w:w="6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PostgreSQL — everything Workers &amp; Clients touch (DATABASE_URL).</w:t>
            </w:r>
          </w:p>
        </w:tc>
      </w:tr>
      <w:tr>
        <w:tc>
          <w:tcPr>
            <w:tcW w:type="dxa" w:w="3000"/>
            <w:shd w:fill="F4EEE5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Admin / Jury DB</w:t>
            </w:r>
          </w:p>
        </w:tc>
        <w:tc>
          <w:tcPr>
            <w:tcW w:type="dxa" w:w="6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A physically SEPARATE PostgreSQL database (ADMIN_DATABASE_URL). Never shares a connection or a foreign key with the platform DB — the two-database rule.</w:t>
            </w:r>
          </w:p>
        </w:tc>
      </w:tr>
      <w:tr>
        <w:tc>
          <w:tcPr>
            <w:tcW w:type="dxa" w:w="3000"/>
            <w:shd w:fill="F4EEE5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Escrow contracts</w:t>
            </w:r>
          </w:p>
        </w:tc>
        <w:tc>
          <w:tcPr>
            <w:tcW w:type="dxa" w:w="6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Solidity (PhaseEscrow + MockStablecoin) deployed to the Polygon Amoy testnet via Hardhat. Its own contracts/.env. Testnet only until a professional audit.</w:t>
            </w:r>
          </w:p>
        </w:tc>
      </w:tr>
      <w:tr>
        <w:tc>
          <w:tcPr>
            <w:tcW w:type="dxa" w:w="3000"/>
            <w:shd w:fill="F4EEE5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Escrow cron</w:t>
            </w:r>
          </w:p>
        </w:tc>
        <w:tc>
          <w:tcPr>
            <w:tcW w:type="dxa" w:w="6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A scheduled call to /api/cron/escrow (Vercel Cron or any host cron) that drives auto-release timers and reminders.</w:t>
            </w:r>
          </w:p>
        </w:tc>
      </w:tr>
    </w:tbl>
    <w:p>
      <w:pPr>
        <w:pBdr>
          <w:left w:val="single" w:color="A85F2E" w:sz="18"/>
        </w:pBdr>
        <w:shd w:fill="F5F0E8" w:val="clear"/>
        <w:spacing w:after="130" w:before="80" w:line="272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Money 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ChainWork stays on a public testnet (Amoy) with a mock stablecoin until a professional smart-contract audit. Never point CHAIN_* at mainnet or wire real funds before then.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2. Prerequisites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Node.js 20 LTS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(or 22) and npm. (Next 16 needs ≥18.18; 20 LTS recommended.)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Two PostgreSQL databases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— two separate managed instances/projects (e.g. Neon, Supabase, or RDS). Two databases on one server is acceptable for a demo, but keep two distinct connection URLs.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A throwaway EVM wallet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funded with free Amoy MATIC (for contract deploy + relayer gas). Never a wallet holding real funds.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Optional providers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for real messages: a Resend or Brevo account (email) and a Twilio account (SMS). Without them, set the providers to “mock” and messages log to the server console.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A host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for the web app — Vercel (Path A) or a Linux VPS (Path B) — and a domain.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3. Environment files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Two env files. Neither is committed. Copy each template, fill the values, and set them as your host's environment variables in production (do not ship a literal .env to a serverless host — use its secrets manager).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3.1  Web app — .env (repository root)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0"/>
          <w:szCs w:val="20"/>
        </w:rPr>
        <w:t xml:space="preserve">This single file serves both the UI and the server. Everything here is server-only.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2760"/>
        <w:gridCol w:w="1150"/>
        <w:gridCol w:w="5450"/>
      </w:tblGrid>
      <w:tr>
        <w:trPr>
          <w:tblHeader/>
        </w:trPr>
        <w:tc>
          <w:tcPr>
            <w:tcW w:type="dxa" w:w="276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5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Secret?</w:t>
            </w:r>
          </w:p>
        </w:tc>
        <w:tc>
          <w:tcPr>
            <w:tcW w:type="dxa" w:w="545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postgresql://… for the PLATFORM database.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ADMIN_DATABASE_URL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postgresql://… for the SEPARATE admin/jury database.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AUTH_SECRET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Long random string that signs session JWTs. Generate a fresh one (below).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CHAIN_RPC_URL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Amoy RPC, e.g. https://rpc-amoy.polygon.technology (or an Alchemy/Infura Amoy URL).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CHAIN_ID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80002 for Polygon Amoy.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CHAIN_MNEMONIC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Testnet mnemonic; index 0 = relayer/attestor, 1..n = custodial wallets. TESTNET stand-in only.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CHAIN_RELAYER_INDEX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CHAIN_ESCROW_ADDRESS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PhaseEscrow address from contracts/deployments/amoy.json.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CHAIN_TOKEN_ADDRESS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MockStablecoin (cwINR) address from amoy.json.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CRON_SECRET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Shared secret the cron caller sends as x-cron-secret. Generate a fresh one.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APP_BASE_URL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https://your-domain — makes emailed links absolute. IMPORTANT in prod.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EMAIL_PROVIDER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mock | resend | brevo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EMAIL_FROM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Sender address (must be verified with the provider).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RESEND_API_KEY / BREVO_API_KEY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Set the one matching EMAIL_PROVIDER.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SMS_PROVIDER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mock | twilio | fast2sms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SMS_DEFAULT_COUNTRY_CODE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575047"/>
                <w:sz w:val="18"/>
                <w:szCs w:val="18"/>
              </w:rPr>
              <w:t xml:space="preserve">No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+91 (used to normalise stored 10-digit numbers).</w:t>
            </w:r>
          </w:p>
        </w:tc>
      </w:tr>
      <w:tr>
        <w:tc>
          <w:tcPr>
            <w:tcW w:type="dxa" w:w="27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512"/>
                <w:sz w:val="17"/>
                <w:szCs w:val="17"/>
              </w:rPr>
              <w:t xml:space="preserve">TWILIO_ACCOUNT_SID / _AUTH_TOKEN / _FROM</w:t>
            </w:r>
          </w:p>
        </w:tc>
        <w:tc>
          <w:tcPr>
            <w:tcW w:type="dxa" w:w="11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B23A22"/>
                <w:sz w:val="18"/>
                <w:szCs w:val="18"/>
              </w:rPr>
              <w:t xml:space="preserve">Yes</w:t>
            </w:r>
          </w:p>
        </w:tc>
        <w:tc>
          <w:tcPr>
            <w:tcW w:type="dxa" w:w="54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Set if SMS_PROVIDER=twilio (FROM is an SMS-capable number).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Copy-paste template (.env):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---- Databases (two SEPARATE Postgres instances) ----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DATABASE_URL=postgresql://user:pass@platform-host:5432/chainwork_platform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ADMIN_DATABASE_URL=postgresql://user:pass@admin-host:5432/chainwork_admin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---- Auth ----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AUTH_SECRET=            # node -e "console.log(require('crypto').randomBytes(48).toString('base64url'))"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---- Blockchain (Polygon Amoy testnet) ----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CHAIN_RPC_URL=https://rpc-amoy.polygon.technology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CHAIN_ID=80002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CHAIN_MNEMONIC=twelve word testnet mnemonic that controls the relayer and custodial wallets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CHAIN_RELAYER_INDEX=0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CHAIN_ESCROW_ADDRESS=0x...   # from contracts/deployments/amoy.json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CHAIN_TOKEN_ADDRESS=0x...    # from contracts/deployments/amoy.json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---- Escrow cron ----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CRON_SECRET=            # generate like AUTH_SECRET above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---- Email + SMS (use 'mock' to log to console) ----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APP_BASE_URL=https://your-domain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EMAIL_PROVIDER=mock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EMAIL_FROM=ChainWork &lt;no-reply@your-domain&gt;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RESEND_API_KEY=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SMS_PROVIDER=mock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SMS_DEFAULT_COUNTRY_CODE=+91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TWILIO_ACCOUNT_SID=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TWILIO_AUTH_TOKEN=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TWILIO_FROM=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512"/>
          <w:sz w:val="24"/>
          <w:szCs w:val="24"/>
        </w:rPr>
        <w:t xml:space="preserve">3.2  Contracts — contracts/.env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0"/>
          <w:szCs w:val="20"/>
        </w:rPr>
        <w:t xml:space="preserve">Only needed to deploy the escrow contracts to Amoy.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DEPLOYER_KEY=0xYOUR_THROWAWAY_PRIVATE_KEY   # a NEW wallet, funded with free Amoy MATIC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AMOY_RPC_URL=https://rpc-amoy.polygon.technology   # optional; this is the default</w:t>
      </w:r>
    </w:p>
    <w:p>
      <w:pPr>
        <w:spacing w:after="40" w:before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Generate the two secrets: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node -e "console.log(require('crypto').randomBytes(48).toString('base64url'))"   # AUTH_SECRET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node -e "console.log(require('crypto').randomBytes(32).toString('base64url'))"   # CRON_SECRET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4. Deploy — Path A: managed (recommended)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Vercel (app) + two managed Postgres databases + Amoy (contracts) + Vercel Cron.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Provision the two databases.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Create two Postgres instances/projects; copy their connection strings into DATABASE_URL and ADMIN_DATABASE_URL.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Deploy the contracts to Amoy.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cd contracts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cp .env.example .env      # then fill DEPLOYER_KEY (+ AMOY_RPC_URL if custom)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npm install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npm run deploy:amoy       # prints addresses; writes deployments/amoy.json</w:t>
      </w:r>
    </w:p>
    <w:p>
      <w:pPr>
        <w:spacing w:after="120" w:before="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Copy the printed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PhaseEscrow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MockStablecoin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addresses into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CHAIN_ESCROW_ADDRESS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CHAIN_TOKEN_ADDRESS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Set env vars on Vercel.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Add every variable from §3.1 in Project → Settings → Environment Variables (Production).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Run migrations against the two databases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(from your machine or a one-off job, with the prod URLs in your shell):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npx prisma migrate deploy --schema prisma/platform/schema.prisma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npx prisma migrate deploy --schema prisma/admin/schema.prisma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npm run db:generate       # regenerate the two Prisma clients (also runs on postinstall)</w:t>
      </w:r>
    </w:p>
    <w:p>
      <w:pPr>
        <w:pBdr>
          <w:left w:val="single" w:color="A85F2E" w:sz="18"/>
        </w:pBdr>
        <w:shd w:fill="F5F0E8" w:val="clear"/>
        <w:spacing w:after="130" w:before="80" w:line="272"/>
        <w:ind w:left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migrate deploy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in production (applies committed migrations), never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migrate 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. Seeding (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npm run db:seed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) is for demos — it creates demo users and demo escrow state; skip it, or run it deliberately, for a real environment.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Deploy the app.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Push to the connected Git branch (or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vercel --prod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). Build command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next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; Vercel serves it automatically.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Schedule the escrow cron.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Add a vercel.json cron (or an external scheduler) that calls the endpoint every minute with the secret header: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// vercel.json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{ "crons": [ { "path": "/api/cron/escrow", "schedule": "* * * * *" } ] }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// Vercel Cron can't set a custom header, so also accept the secret via query on a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// private schedule, OR use an external cron (cron-job.org / GitHub Actions):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curl -H "x-cron-secret: $CRON_SECRET" https://your-domain/api/cron/escrow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Set the domain + APP_BASE_URL.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Point your custom domain at the app and set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APP_BASE_URL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to it so emailed links resolve.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Fund the relayer.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Send Amoy MATIC to the relayer address (mnemonic index 0) so it can pay gas for escrow transactions; the mock stablecoin has an open mint for test balances.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5. Deploy — Path B: self-hosted VPS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A Linux box with Node 20, PostgreSQL, and nginx. Same contracts + env steps as Path A (§4 steps 1, 2, 4).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on the server, in the repo: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npm ci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npm run build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NODE_ENV=production PORT=3000 npm run start   # keep alive with pm2 or systemd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pm2 example: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pm2 start "npm run start" --name chainwork &amp;&amp; pm2 save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cron (crontab -e):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* * * * * curl -s -H "x-cron-secret: THE_SECRET" http://127.0.0.1:3000/api/cron/escrow</w:t>
      </w:r>
    </w:p>
    <w:p>
      <w:pPr>
        <w:spacing w:after="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Front it with nginx for TLS, security headers, and rate limiting:</w:t>
      </w:r>
    </w:p>
    <w:p>
      <w:pPr>
        <w:keepNext/>
        <w:keepLines/>
        <w:shd w:fill="1E1B18" w:val="clear"/>
        <w:spacing w:after="0" w:before="4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# /etc/nginx/nginx.conf (http block)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limit_req_zone $binary_remote_addr zone=cw:10m rate=20r/s;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server {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listen 443 ssl http2;  server_name your-domain;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# ssl_certificate ... (Let's Encrypt / certbot)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location / {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limit_req zone=cw burst=40 nodelay;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proxy_pass http://127.0.0.1:3000;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proxy_set_header Host $host;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  proxy_set_header X-Forwarded-For $proxy_add_x_forwarded_for;</w:t>
      </w:r>
    </w:p>
    <w:p>
      <w:pPr>
        <w:keepNext/>
        <w:keepLines/>
        <w:shd w:fill="1E1B18" w:val="clear"/>
        <w:spacing w:after="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  }</w:t>
      </w:r>
    </w:p>
    <w:p>
      <w:pPr>
        <w:keepNext w:val="false"/>
        <w:keepLines/>
        <w:shd w:fill="1E1B18" w:val="clear"/>
        <w:spacing w:after="120" w:before="0" w:line="252"/>
      </w:pPr>
      <w:r>
        <w:rPr>
          <w:rFonts w:ascii="Consolas" w:cs="Consolas" w:eastAsia="Consolas" w:hAnsi="Consolas"/>
          <w:color w:val="E8E2D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6. Pre-deploy hardening checklist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From the security assessment — do these before exposing the app: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560"/>
        <w:gridCol w:w="4600"/>
        <w:gridCol w:w="4200"/>
      </w:tblGrid>
      <w:tr>
        <w:trPr>
          <w:tblHeader/>
        </w:trPr>
        <w:tc>
          <w:tcPr>
            <w:tcW w:type="dxa" w:w="56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60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Open redirect fix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Validate returnTo is a local path (safeReturnTo) at actions.ts:155 and :317. See the assessment §4.7.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Add the headers() block to next.config.ts (assessment §5) — X-Frame-Options, CSP, HSTS, nosniff, Referrer-Policy.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Strong secrets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Fresh random AUTH_SECRET and CRON_SECRET (never the dev defaults).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NODE_ENV=production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Disables dev quick-login and console TOTP logging; enables Secure cookies.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Edge rate limiting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CDN/nginx limit on general routes (the app only rate-limits auth).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Real DB URLs, two DBs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Confirm DATABASE_URL ≠ ADMIN_DATABASE_URL; run migrate deploy on both.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Providers set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EMAIL_PROVIDER / SMS_PROVIDER to real providers (or 'mock' intentionally).</w:t>
            </w:r>
          </w:p>
        </w:tc>
      </w:tr>
      <w:tr>
        <w:tc>
          <w:tcPr>
            <w:tcW w:type="dxa" w:w="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☐</w:t>
            </w:r>
          </w:p>
        </w:tc>
        <w:tc>
          <w:tcPr>
            <w:tcW w:type="dxa" w:w="4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Testnet only</w:t>
            </w:r>
          </w:p>
        </w:tc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CHAIN_ID=80002 (Amoy). Do NOT point at mainnet pre-audit.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7. Post-deploy smoke test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GET 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returns the landing page (200).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Log in as a seeded/known user → reach the dashboard.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On Earnings/Payments the wallet balance reads </w:t>
      </w:r>
      <w:r>
        <w:rPr>
          <w:rFonts w:ascii="Calibri" w:cs="Calibri" w:eastAsia="Calibri" w:hAnsi="Calibri"/>
          <w:b w:val="false"/>
          <w:bCs w:val="false"/>
          <w:i/>
          <w:iCs/>
          <w:color w:val="1A1512"/>
          <w:sz w:val="21"/>
          <w:szCs w:val="21"/>
        </w:rPr>
        <w:t xml:space="preserve">live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(not “cached · chain offline”) — confirms the Amoy RPC is reachable.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Fund a phase → an on-chain FUND tx hash appears (viewable on the Amoy explorer).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curl -H "x-cron-secret: …" /api/cron/escrow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b w:val="false"/>
          <w:bCs w:val="false"/>
          <w:color w:val="7A3E12"/>
          <w:sz w:val="19"/>
          <w:szCs w:val="19"/>
        </w:rPr>
        <w:t xml:space="preserve">{ ok: true, …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(200); wrong secret returns 401.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A85F2E"/>
          <w:sz w:val="30"/>
          <w:szCs w:val="30"/>
        </w:rPr>
        <w:t xml:space="preserve">8. Site name — options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The product ships everywhere as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ChainWork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, and the brand system (the forge motif, “Work, Forged in Trust”, bronze palette) is already built around it. Renaming touches code, seed data, emails and assets — so keep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ChainWork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unless you specifically want a change. If you do, these fit the existing identity:</w:t>
      </w:r>
    </w:p>
    <w:tbl>
      <w:tblPr>
        <w:tblW w:type="dxa" w:w="9360"/>
        <w:tblBorders>
          <w:top w:val="single" w:color="CDBFA8" w:sz="4"/>
          <w:left w:val="single" w:color="CDBFA8" w:sz="4"/>
          <w:bottom w:val="single" w:color="CDBFA8" w:sz="4"/>
          <w:right w:val="single" w:color="CDBFA8" w:sz="4"/>
          <w:insideH w:val="single" w:color="E3D8C6" w:sz="4"/>
          <w:insideV w:val="single" w:color="E3D8C6" w:sz="4"/>
        </w:tblBorders>
      </w:tblPr>
      <w:tblGrid>
        <w:gridCol w:w="2200"/>
        <w:gridCol w:w="1250"/>
        <w:gridCol w:w="5910"/>
      </w:tblGrid>
      <w:tr>
        <w:trPr>
          <w:tblHeader/>
        </w:trPr>
        <w:tc>
          <w:tcPr>
            <w:tcW w:type="dxa" w:w="220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5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5910"/>
            <w:shd w:fill="A85F2E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</w:tr>
      <w:tr>
        <w:tc>
          <w:tcPr>
            <w:tcW w:type="dxa" w:w="2200"/>
            <w:shd w:fill="D9F2E1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85F2E"/>
                <w:sz w:val="18"/>
                <w:szCs w:val="18"/>
              </w:rPr>
              <w:t xml:space="preserve">ChainWork (keep)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Current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Already the brand; blockchain (chain) + work. Recommended default.</w:t>
            </w:r>
          </w:p>
        </w:tc>
      </w:tr>
      <w:tr>
        <w:tc>
          <w:tcPr>
            <w:tcW w:type="dxa" w:w="2200"/>
            <w:shd w:fill="D9F2E1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A85F2E"/>
                <w:sz w:val="18"/>
                <w:szCs w:val="18"/>
              </w:rPr>
              <w:t xml:space="preserve">WorkForge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On-brand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Leans into the existing forge/“forged in trust” motif; strong, ownable.</w:t>
            </w:r>
          </w:p>
        </w:tc>
      </w:tr>
      <w:tr>
        <w:tc>
          <w:tcPr>
            <w:tcW w:type="dxa" w:w="2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WorkLock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Escrow-led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The core promise — pay is locked in escrow the moment you agree.</w:t>
            </w:r>
          </w:p>
        </w:tc>
      </w:tr>
      <w:tr>
        <w:tc>
          <w:tcPr>
            <w:tcW w:type="dxa" w:w="2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TrustWork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Trust-led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Foregrounds the trust layer (KYC, reviews, peer jury).</w:t>
            </w:r>
          </w:p>
        </w:tc>
      </w:tr>
      <w:tr>
        <w:tc>
          <w:tcPr>
            <w:tcW w:type="dxa" w:w="2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Kaamsetu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India market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“Kaam” (work) + “setu” (bridge) — local resonance for the INR/daily-wage audience.</w:t>
            </w:r>
          </w:p>
        </w:tc>
      </w:tr>
      <w:tr>
        <w:tc>
          <w:tcPr>
            <w:tcW w:type="dxa" w:w="2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1A1512"/>
                <w:sz w:val="18"/>
                <w:szCs w:val="18"/>
              </w:rPr>
              <w:t xml:space="preserve">ForgePay</w:t>
            </w:r>
          </w:p>
        </w:tc>
        <w:tc>
          <w:tcPr>
            <w:tcW w:type="dxa" w:w="125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Payments-led</w:t>
            </w:r>
          </w:p>
        </w:tc>
        <w:tc>
          <w:tcPr>
            <w:tcW w:type="dxa" w:w="591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512"/>
                <w:sz w:val="18"/>
                <w:szCs w:val="18"/>
              </w:rPr>
              <w:t xml:space="preserve">Forge motif + the instant-payout hook; good if payments are the headline.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Top picks: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keep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ChainWork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; if rebranding,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WorkForge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(identity-consistent) or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21"/>
          <w:szCs w:val="21"/>
        </w:rPr>
        <w:t xml:space="preserve">WorkLock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1"/>
          <w:szCs w:val="21"/>
        </w:rPr>
        <w:t xml:space="preserve"> (names the escrow benefit). Check domain + trademark availability before committing.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1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ChainWork Deployment Guide</dc:title>
  <dc:creator>ChainWork Deployment Guide</dc:creator>
  <cp:lastModifiedBy>Un-named</cp:lastModifiedBy>
  <cp:revision>1</cp:revision>
  <dcterms:created xsi:type="dcterms:W3CDTF">2026-08-26T21:41:15.525Z</dcterms:created>
  <dcterms:modified xsi:type="dcterms:W3CDTF">2026-08-26T21:41:15.532Z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