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1F6FA8"/>
          <w:spacing w:val="60"/>
          <w:sz w:val="22"/>
          <w:szCs w:val="22"/>
        </w:rPr>
        <w:t xml:space="preserve">PROJECT-II  ·  MID-SEMESTER EVALUATION</w:t>
      </w:r>
    </w:p>
    <w:p>
      <w:pPr>
        <w:spacing w:after="0" w:before="260"/>
        <w:jc w:val="center"/>
      </w:pPr>
      <w:r>
        <w:rPr>
          <w:rFonts w:ascii="Calibri" w:cs="Calibri" w:eastAsia="Calibri" w:hAnsi="Calibri"/>
          <w:b/>
          <w:bCs/>
          <w:color w:val="13405F"/>
          <w:sz w:val="56"/>
          <w:szCs w:val="56"/>
        </w:rPr>
        <w:t xml:space="preserve">Slide-by-Slide Fill Guide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4A5A66"/>
          <w:sz w:val="24"/>
          <w:szCs w:val="24"/>
        </w:rPr>
        <w:t xml:space="preserve">for the template  “Project-II_PPT for student reference.pptx”</w:t>
      </w:r>
    </w:p>
    <w:p>
      <w:pPr>
        <w:pBdr>
          <w:top w:val="single" w:color="C8D3DC" w:sz="8" w:space="10"/>
          <w:bottom w:val="single" w:color="C8D3DC" w:sz="8" w:space="10"/>
        </w:pBdr>
        <w:spacing w:after="0" w:before="520"/>
        <w:jc w:val="center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Project:  ChainWork — Blockchain Escrow &amp; Peer-Jury Trust Layer for Local Daily-Wage Work</w:t>
      </w:r>
    </w:p>
    <w:p>
      <w:pPr>
        <w:spacing w:after="0" w:before="460"/>
        <w:jc w:val="center"/>
      </w:pPr>
      <w:r>
        <w:rPr>
          <w:rFonts w:ascii="Calibri" w:cs="Calibri" w:eastAsia="Calibri" w:hAnsi="Calibri"/>
          <w:i/>
          <w:iCs/>
          <w:color w:val="6A7681"/>
          <w:sz w:val="22"/>
          <w:szCs w:val="22"/>
        </w:rPr>
        <w:t xml:space="preserve">26 slides in · 26 slides out.  Nothing added, nothing deleted, nothing moved.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6A7681"/>
          <w:sz w:val="20"/>
          <w:szCs w:val="20"/>
        </w:rPr>
        <w:t xml:space="preserve">Contains: template anatomy · design rules · ready-to-paste text for all 26 slides · word budgets · image/asset checklist · final QA pass</w:t>
      </w:r>
    </w:p>
    <w:p>
      <w:r>
        <w:br w:type="page"/>
      </w:r>
    </w:p>
    <w:p>
      <w:pPr>
        <w:pStyle w:val="Heading1"/>
        <w:pBdr>
          <w:bottom w:val="single" w:color="C8D3D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6FA8"/>
          <w:sz w:val="30"/>
          <w:szCs w:val="30"/>
        </w:rPr>
        <w:t xml:space="preserve">Part A — What this template actually is</w:t>
      </w:r>
    </w:p>
    <w:p>
      <w:pPr>
        <w:spacing w:after="1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Everything below was read directly out of the .pptx file, not guessed. These are the numbers you must design inside.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A.1  Template anatomy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count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 — this is the exact count your filled deck must also have</w:t>
            </w:r>
          </w:p>
        </w:tc>
      </w:tr>
      <w:tr>
        <w:tc>
          <w:tcPr>
            <w:tcW w:type="dxa" w:w="26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size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10.0 in × 7.5 in  (4:3 On-screen Show, NOT 16:9 — do not change it)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Theme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“Integral”</w:t>
            </w:r>
          </w:p>
        </w:tc>
      </w:tr>
      <w:tr>
        <w:tc>
          <w:tcPr>
            <w:tcW w:type="dxa" w:w="26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 Cen MT Condensed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Body font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 Cen MT</w:t>
            </w:r>
          </w:p>
        </w:tc>
      </w:tr>
      <w:tr>
        <w:tc>
          <w:tcPr>
            <w:tcW w:type="dxa" w:w="26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Theme colours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Dark accent #335B74 · Light #DFE3E5 · Accent1 #1CADE4 · Accent2 #2683C6 · Accent3 #27CED7 · Accent4 #42BA97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1 assets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Full-bleed Parul University campus photograph (10×7.5 in), university logo (2.60×0.69 in at top-centre), two small corner graphics bottom-right</w:t>
            </w:r>
          </w:p>
        </w:tc>
      </w:tr>
      <w:tr>
        <w:tc>
          <w:tcPr>
            <w:tcW w:type="dxa" w:w="26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On every slide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slide-number placeholder at (8.89, 7.08). Never delete it.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Tables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— Slide 5 (Literature Review) and Slide 12 (Data Set Description)</w:t>
            </w:r>
          </w:p>
        </w:tc>
      </w:tr>
      <w:tr>
        <w:tc>
          <w:tcPr>
            <w:tcW w:type="dxa" w:w="26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Picture frames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 across slides 10, 11, 13, 14, 15, 16, 17, 18, 19, 20, 21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A.2  The nine rules that keep the design intact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template is a sample deck from a Big Mart sales-prediction project. You are replacing its text and pictures — you are not rebuilding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not add or delete a single slide. 26 in, 26 out. If a slide feels irrelevant, repurpose it (Part B tells you how) rather than removing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draw a new text box. Click into the box that is already there, select all, and type over it. New boxes are what break alignment across slides.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drag, resize or re-align an existing box, table or picture frame. Positions are consistent across the deck by design; one nudged box is visible instantly on a projector.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Replace pictures with Right-click → Change Picture → From a File. This keeps the frame's exact position and size. Inserting a fresh picture does not.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Crop every screenshot to the frame's aspect ratio before you import it (all 12 frame sizes are listed in Part C). This is the only way to avoid a stretched, blurry image.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not change fonts, font sizes or colours. If your text does not fit, cut words — do not shrink the type. Every slide in Part B carries a word budget measured from the text that already fits in that exact box.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Turn OFF “Shrink text on overflow”. Right-click the box → Format Shape → Text Options → Do not Autofit. Autofit silently makes one slide's body 14 pt while its neighbour is 20 pt, and that inconsistency is what an examiner notices.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the slide-number placeholder and the slide-1 campus photo, logo and corner graphics untouched.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as .pptx and also export a PDF. Present from the PDF if the exam machine may not have Tw Cen MT installed — otherwise Windows substitutes a different font and every line re-wraps.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Font warning: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Tw Cen MT ships with Microsoft Office but not with a bare Windows install and not with LibreOffice or Google Slides. Open the finished deck once on the machine you will actually present from. If the text re-wraps, present from the PDF.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A.3  Three flaws already in the template — leave them alone</w:t>
      </w:r>
    </w:p>
    <w:p>
      <w:pPr>
        <w:spacing w:after="11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are in the reference file itself. Knowing about them stops you from “fixing” something and shifting the layout.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200"/>
        <w:gridCol w:w="8200"/>
      </w:tblGrid>
      <w:tr>
        <w:trPr>
          <w:tblHeader/>
        </w:trPr>
        <w:tc>
          <w:tcPr>
            <w:tcW w:type="dxa" w:w="12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82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will notice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3</w:t>
            </w:r>
          </w:p>
        </w:tc>
        <w:tc>
          <w:tcPr>
            <w:tcW w:type="dxa" w:w="8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 empty content placeholder sits behind the text box you will type in. Leave it empty — empty placeholders do not appear in Slideshow or in print.</w:t>
            </w:r>
          </w:p>
        </w:tc>
      </w:tr>
      <w:tr>
        <w:tc>
          <w:tcPr>
            <w:tcW w:type="dxa" w:w="12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5</w:t>
            </w:r>
          </w:p>
        </w:tc>
        <w:tc>
          <w:tcPr>
            <w:tcW w:type="dxa" w:w="82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“Literature Review” title sits behind the table and is effectively hidden. Do not move the table to expose it; the table is the slide.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Slide 16</w:t>
            </w:r>
          </w:p>
        </w:tc>
        <w:tc>
          <w:tcPr>
            <w:tcW w:type="dxa" w:w="8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explanation rectangle is 4.20 in tall starting at 4.05 in, so it runs past the 7.50 in bottom edge. Stay within the ~120-word budget and your text stays on-screen.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A.4  One decision you have to make — slides 17 to 20</w:t>
      </w:r>
    </w:p>
    <w:p>
      <w:pPr>
        <w:spacing w:after="11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template's outline lists “Exploratory Data Analysis”, and slides 17–20 are four numbered EDA findings with a chart each. ChainWork is a blockchain marketplace, not a machine-learning project — there is no dataset to explore, so a literal EDA section would be four slides of nothing.</w:t>
      </w:r>
    </w:p>
    <w:p>
      <w:pPr>
        <w:spacing w:after="110" w:before="0" w:lin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Recommended: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rename that section 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“System Analysis &amp; Test Results”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outline slide (slide 2) and use slides 17–20 for your four strongest verified results, one per slide, each with a screenshot — exactly the same shape as the template, with content that actually exists. Part B is written this way.</w:t>
      </w:r>
    </w:p>
    <w:p>
      <w:pPr>
        <w:spacing w:after="110" w:before="0" w:lin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Fallback if your department insists on the literal heading: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keep “Exploratory Data Analysis” on slide 2 and present slides 17–20 as analysis of your run data — phase durations, release-path distribution, gas per transaction, dispute outcomes. Same four slides either way.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Confirm this one with your guide.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It is the only place where the reference deck's section names and your project genuinely diverge. Everything else in the template maps onto ChainWork without argument.</w:t>
      </w:r>
    </w:p>
    <w:p>
      <w:r>
        <w:br w:type="page"/>
      </w:r>
    </w:p>
    <w:p>
      <w:pPr>
        <w:pStyle w:val="Heading1"/>
        <w:pBdr>
          <w:bottom w:val="single" w:color="C8D3D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6FA8"/>
          <w:sz w:val="30"/>
          <w:szCs w:val="30"/>
        </w:rPr>
        <w:t xml:space="preserve">Part B — Slide by slide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slide below gives you: what is on it, the word budget (measured from the reference text that already fits that exact box), and text you can paste straight in.</w:t>
      </w:r>
    </w:p>
    <w:p>
      <w:pPr>
        <w:spacing w:after="160" w:before="0" w:line="260"/>
      </w:pPr>
      <w:r>
        <w:rPr>
          <w:rFonts w:ascii="Calibri" w:cs="Calibri" w:eastAsia="Calibri" w:hAnsi="Calibri"/>
          <w:b/>
          <w:bCs/>
          <w:color w:val="2A5B2A"/>
          <w:sz w:val="21"/>
          <w:szCs w:val="21"/>
        </w:rPr>
        <w:t xml:space="preserve">Green blocks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are ready-to-paste content.  </w:t>
      </w:r>
      <w:r>
        <w:rPr>
          <w:rFonts w:ascii="Calibri" w:cs="Calibri" w:eastAsia="Calibri" w:hAnsi="Calibri"/>
          <w:b/>
          <w:bCs/>
          <w:color w:val="7A5200"/>
          <w:sz w:val="21"/>
          <w:szCs w:val="21"/>
        </w:rPr>
        <w:t xml:space="preserve">Yellow blocks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are warnings.  Word budgets are a ceiling, not a target — under is always safe.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 — Title slide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Slide · campus photo background · university logo top-centre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edit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text boxes: project title (32 pt bold), “Presented By” list (20 pt), “Supervised by” (20 pt)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≤ 12 words / 2 lines in a 7.50 × 1.28 in box.  Presenter list = 5 lines max.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Leave alone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Campus photograph, university logo, the bronze divider bar, both corner graphics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ChainWork: A Blockchain Escrow and Peer-Jury Trust Layer for Local Daily-Wage Work</w:t>
      </w:r>
    </w:p>
    <w:p>
      <w:pPr>
        <w:spacing w:after="5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If that wraps to a third line, use the short form instead: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ChainWork — Blockchain Escrow and Peer-Jury Trust for Local Work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Presented By: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Dhruv Maji (Enrollment No.)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Student name-2 (Enrollment-2)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Student name-3 (Enrollment-3)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Student name-4 (Enrollment-4)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Supervised by: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Prof. / Dr. &lt;full name with designation&gt;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Delete unused lines.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If you are a team of two, delete the name-3 and name-4 paragraphs — do not leave the placeholder text on the title slide. That is the single most common mark-loser on a title slide.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 — Outline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title “OUTLINE” (35.5 pt)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edit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8 bullets in the content placeholder (24 pt)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bullets, ≤ 4 words each. Do not add a ninth.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Rule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This list must match your actual section titles exactly — an examiner reads slide 2, then checks.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1.  Introduction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2.  Objectives of Project Work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3.  Literature Survey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4.  Problem Statement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5.  Implementation with Results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6.  System Analysis &amp; Test Results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7.  Conclusion &amp; Future Work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8.  References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Line 6: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This is the A.4 decision. If you keep the literal template heading, write “Exploratory Data Analysis” here instead and present slides 17–20 as run-data analysis.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3 — Introduction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Two Content · title (36 pt) + one wide text box at 0.59, 2.10 (9.10 × 4.81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edit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+ the text box. Ignore the empty placeholder behind it.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123 words total, 3 paragraphs, 20 pt, blank line between paragraphs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Citation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reference title reads “Introduction[15]”. Add a bracketed reference number only if you cite one.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Introduction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India's daily-wage and gig labour market — electricians, cooks, drivers, cleaners, decorators and helpers — is hired for hours, days or weeks, and is still coordinated through phone calls, contractors and cash.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Existing platforms do not fit this work. LinkedIn targets permanent employment and Fiverr targets digital services; neither settles payment for short, physical, on-site jobs, so both sides rely on trust that no system records.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ChainWork is a three-sided marketplace that adds a verifiable trust layer to that market: verified identity, one signed milestone contract, phase-wise blockchain escrow, and a staked peer jury that decides disputes without a single administrator.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118 of 123.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4 — Objectives of Project Work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title text box (36 pt) + body text box at 0.67, 2.57 (8.45 × 3.47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edit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Both boxes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75 words total, 3 paragraphs, 20 pt, blank line between paragraphs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each objective as one infinitive sentence — “To design…”, “To implement…”, “To resolve…”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Objectives of PROJECT Work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To design a role-based marketplace for physical, time-boxed local work where a Client posts a job, a Worker applies, and both sign one canonical contract before money moves.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To implement phase-wise escrow in a smart contract so each milestone's payment is locked on funding and released only on approval, or automatically once the verification window lapses.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To resolve disputes through a staked, randomly selected peer jury voting by commit–reveal, removing the single-admin judge.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74 of 75.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5 — Literature Review  (TABLE)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table, 9.21 × 6.93 in, filling the slide. Header row + 5 paper rows.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Columns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Sr. No. · Paper Title · Journal with Year · Methods · Outcomes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Outcomes cell ≤ 22 words. Keep exactly 5 rows — adding a 6th overflows the slide.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Rule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bracketed number after each title must match its number on slide 24 (References).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 — five rows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620"/>
        <w:gridCol w:w="2050"/>
        <w:gridCol w:w="1280"/>
        <w:gridCol w:w="1550"/>
        <w:gridCol w:w="3900"/>
      </w:tblGrid>
      <w:tr>
        <w:trPr>
          <w:tblHeader/>
        </w:trPr>
        <w:tc>
          <w:tcPr>
            <w:tcW w:type="dxa" w:w="62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Sr. No.</w:t>
            </w:r>
          </w:p>
        </w:tc>
        <w:tc>
          <w:tcPr>
            <w:tcW w:type="dxa" w:w="205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Paper Title</w:t>
            </w:r>
          </w:p>
        </w:tc>
        <w:tc>
          <w:tcPr>
            <w:tcW w:type="dxa" w:w="128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Journal with Year</w:t>
            </w:r>
          </w:p>
        </w:tc>
        <w:tc>
          <w:tcPr>
            <w:tcW w:type="dxa" w:w="155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Methods</w:t>
            </w:r>
          </w:p>
        </w:tc>
        <w:tc>
          <w:tcPr>
            <w:tcW w:type="dxa" w:w="39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Outcomes</w:t>
            </w:r>
          </w:p>
        </w:tc>
      </w:tr>
      <w:tr>
        <w:tc>
          <w:tcPr>
            <w:tcW w:type="dxa" w:w="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Formalizing and Securing Relationships on Public Networks [1]</w:t>
            </w:r>
          </w:p>
        </w:tc>
        <w:tc>
          <w:tcPr>
            <w:tcW w:type="dxa" w:w="1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First Monday, 1997 (journal)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Smart-contract formalism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Established that contractual clauses can be embedded in software and self-enforced, which is the basis for escrow without an intermediary.</w:t>
            </w:r>
          </w:p>
        </w:tc>
      </w:tr>
      <w:tr>
        <w:tc>
          <w:tcPr>
            <w:tcW w:type="dxa" w:w="62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Blockchains and Smart Contracts for the Internet of Things [2]</w:t>
            </w:r>
          </w:p>
        </w:tc>
        <w:tc>
          <w:tcPr>
            <w:tcW w:type="dxa" w:w="128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IEEE Access, 2016 (journal)</w:t>
            </w:r>
          </w:p>
        </w:tc>
        <w:tc>
          <w:tcPr>
            <w:tcW w:type="dxa" w:w="15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Ethereum smart contracts, permissioned ledgers</w:t>
            </w:r>
          </w:p>
        </w:tc>
        <w:tc>
          <w:tcPr>
            <w:tcW w:type="dxa" w:w="3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Showed that smart contracts can automate multi-party workflows and conditional payments with no trusted third party.</w:t>
            </w:r>
          </w:p>
        </w:tc>
      </w:tr>
      <w:tr>
        <w:tc>
          <w:tcPr>
            <w:tcW w:type="dxa" w:w="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Kleros: Long Paper v2.0.2 [3]</w:t>
            </w:r>
          </w:p>
        </w:tc>
        <w:tc>
          <w:tcPr>
            <w:tcW w:type="dxa" w:w="1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Kleros Whitepaper, 2019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Crowdsourced juries, commit–reveal voting, Schelling-point incentives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Demonstrated that randomly drawn, staked jurors can decide disputes — majority rewarded, minority slashed. Adopted directly by ChainWork.</w:t>
            </w:r>
          </w:p>
        </w:tc>
      </w:tr>
      <w:tr>
        <w:tc>
          <w:tcPr>
            <w:tcW w:type="dxa" w:w="62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0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Survey of Attacks on Ethereum Smart Contracts (SoK) [4]</w:t>
            </w:r>
          </w:p>
        </w:tc>
        <w:tc>
          <w:tcPr>
            <w:tcW w:type="dxa" w:w="128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POST / ETAPS, 2017 (conference)</w:t>
            </w:r>
          </w:p>
        </w:tc>
        <w:tc>
          <w:tcPr>
            <w:tcW w:type="dxa" w:w="15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Vulnerability taxonomy, attack case studies</w:t>
            </w:r>
          </w:p>
        </w:tc>
        <w:tc>
          <w:tcPr>
            <w:tcW w:type="dxa" w:w="3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Catalogued reentrancy, access-control and denial-of-service classes, motivating our audit-before-mainnet and testnet-only rule.</w:t>
            </w:r>
          </w:p>
        </w:tc>
      </w:tr>
      <w:tr>
        <w:tc>
          <w:tcPr>
            <w:tcW w:type="dxa" w:w="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Blockchain-Enabled Smart Contracts: Architecture, Applications and Future Trends [5]</w:t>
            </w:r>
          </w:p>
        </w:tc>
        <w:tc>
          <w:tcPr>
            <w:tcW w:type="dxa" w:w="1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IEEE Trans. SMC: Systems, 2019 (journal)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Layered architecture survey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Proposed a six-layer smart-contract architecture and identified marketplace settlement and escrow as a leading application.</w:t>
            </w:r>
          </w:p>
        </w:tc>
      </w:tr>
    </w:tbl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Verify before you submit.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Open each of these five in IEEE Xplore / the publisher site and confirm the year, venue and page range. Never present a citation you have not opened — it is the fastest way to lose an examiner's trust.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6 — Research Gap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title (36 pt) + bulleted content placeholder at 1.09, 2.34 (7.97 × 3.14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55 words, exactly 2 bullets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State what the surveyed papers do NOT do, then name your gap. Do not restate your objectives here.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Research Gap [3][5]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Surveyed escrow designs release one lump sum at the end of a job; none model the work as independently funded phases, each with its own verification window and automatic release.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Decentralised jury systems are studied in isolation from the marketplace they serve. The gap ChainWork addresses is a single system where identity, contract, phase escrow and peer jury act on one hire.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56 of 55 — trim one word if it wraps to a fourth line.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7 — Problem Statement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content placeholder at 0.67, 2.33 (8.54 × 4.40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104 words, 2 paragraphs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Paragraph 1 = the problem as the two users experience it. Paragraph 2 = what this project therefore builds.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Problem Statement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A daily-wage worker has no way to prove that the agreed money exists before starting, and a client has no way to hold payment against work that is only partly delivered. Cash settlement leaves no record, so neither side can prove non-payment or non-delivery, and a disagreement is decided by whoever holds more power.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This project therefore builds a system in which the amount agreed for every phase of a job is locked in a smart contract before that phase begins, released only against approval or a lapsed verification window, and — when the two sides disagree — split by a randomly drawn, staked panel of peers rather than by the platform.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105 of 104.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8 — Tools and Technology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content placeholder at 0.98, 2.09 (7.97 × 4.96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Exactly 8 paragraphs: 2 bold sub-headings + 6 short items. ≤ 8 words per item.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Bold the sub-headings, as the template does. Do not turn this into a paragraph.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Tools and Technology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Software Requirements 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Node.js 20 · VS Code · PostgreSQL 17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Next.js 16 (App Router), React 19, TypeScript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Hardhat + Solidity 0.8.24 · Polygon Amoy testnet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Libraries &amp; Services 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Prisma ORM · viem / wagmi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Tailwind CSS v4 · three.js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jose + bcryptjs · Resend (email) · Twilio (SMS)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9 — Phase-Wise Escrow Model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In the template this is the “ARIMA model” slide — the one that explains your core technique in depth. For ChainWork that is the escrow state machine.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and Content · content placeholder at 0.84, 2.18 (7.97 × 4.72 in), 22 pt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112 words across ≤ 7 paragraphs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Bold the mechanism names, as the template bolds its technical terms.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Phase-Wise Escrow Model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Escrow is the money layer: for every phase of a hire the agreed amount is locked in the PhaseEscrow smart contract before work starts, and the contract — not the platform — decides when it leaves.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A phase moves through a fixed state machine, and no state can be skipped: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–  PENDING_FUNDING → FUNDED → IN_PROGRESS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–  DELIVERED → VERIFICATION_WINDOW_OPEN → RELEASED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–  DISPUTED and AUTO_CANCELLED handle the two failure paths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Phases must be funded in order, so a client can never run ahead of the work.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If the client neither approves nor objects, autoRelease pays the worker once the working-day window lapses; the contract reverts if it is called early.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96 of 112.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10 — Peer-Jury Dispute Engine  (3 IMAGES)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Template original: “Comparing the R2 Value” — three labelled results, each with a narrow screenshot strip under it.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(36 pt) + 3 indented labels (20 pt), each followed by a picture frame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Frames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① 5.31 × 1.42 in  ② 3.70 × 1.06 in  ③ 3.31 × 1.10 in — all narrow horizontal strips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Each label ≤ 7 words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Rule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Crop each screenshot to a wide strip before importing. A tall screenshot squeezed into a 1.4 in strip is unreadable.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Peer-Jury Dispute Engine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Commit — hash of (choice, split, salt)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Reveal — hash recomputed, mismatch rejected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Verdict — majority wins, split % is the median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What to screenshot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Strip ①: the admin dispute console showing the drawn panel and the “3 of 5 committed” counter.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Strip ②: the reveal row where a wrong-salt reveal was rejected.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Strip ③: the finalised verdict line — SPLIT @ 50%.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11 — Stake Settlement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title box — an indented label, a picture frame (2.91 × 1.26 in), then a bold heading and 2 bullets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40 words after the label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This slide continues slide 10. Keeping it title-less is deliberate — do not add a title.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Stake settlement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Observation from the implemented engine 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A juror in the majority gains +100 stake and reputation; a minority juror is slashed 200.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Quorum requires more than half the panel to reveal, so a silent juror cannot decide a case.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33 of 40.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12 — Data Model Description  (TABLE)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Table at 0.61, 2.02 (9.10 × 5.12 in): header + 12 rows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Columns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 · TYPE · DESCRIPTION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Description ≤ 14 words. Keep exactly 12 rows.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Repurpose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TYPE column carries which of the two databases the model lives in — that is what shows the examiner your two-database rule.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 — twelve rows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2500"/>
        <w:gridCol w:w="1500"/>
        <w:gridCol w:w="5400"/>
      </w:tblGrid>
      <w:tr>
        <w:trPr>
          <w:tblHeader/>
        </w:trPr>
        <w:tc>
          <w:tcPr>
            <w:tcW w:type="dxa" w:w="25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User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table for both Worker and Client, separated by a role enum.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WorkerProfile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Skills, KYC tier, hourly and weekly charges, rating, completed-job count.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Job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posted job with its role line items, budget, location and schedule.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JobApplication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worker's application to a job, with the rate quoted for it.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Hire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accepted engagement binding one client, one worker and one contract.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Contract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Canonical terms, SHA-256 document hash and both parties' signatures.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milestone: name, amount and PhaseStatus — the escrow state machine.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EscrowTransaction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On-chain record of each movement: type, amount and transaction hash.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Wallet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Custodial address, optional linked external address and demo credit.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Complaint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Platform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dispute raised by either party against a hire or a specific phase.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DisputeCase / JuryVote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 DB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Anonymised case, panel size, and each juror's commit and reveal.</w:t>
            </w:r>
          </w:p>
        </w:tc>
      </w:tr>
      <w:tr>
        <w:tc>
          <w:tcPr>
            <w:tcW w:type="dxa" w:w="2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PlatformConfig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 DB</w:t>
            </w:r>
          </w:p>
        </w:tc>
        <w:tc>
          <w:tcPr>
            <w:tcW w:type="dxa" w:w="54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Verification window, reminder cap, stake amounts and holiday calendar.</w:t>
            </w:r>
          </w:p>
        </w:tc>
      </w:tr>
    </w:tbl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Say this out loud when you present it: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“The last two rows live in a physically separate database. The admin side never holds a foreign key into the platform database — it reaches it only through a bridge service, and an automated test fails the build if any admin file imports the platform database directly.” That one sentence is worth the whole slide.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13 — Project Flow Chart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(32 pt bold) + one empty content placeholder at 1.18, 1.78 (7.09 × 4.72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add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diagram. No text on this slide.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Aspect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7.09 × 4.72 in ≈ 3:2 landscape. Export your diagram at that ratio.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The flow chart must show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 posts job  →  Worker applies  →  Client accepts and builds the milestone plan (2–8 phases)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Both parties sign the same contract (one SHA-256 hash)  →  signature gate opens funding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 phase: Fund → In progress → Delivered → Verification window → Released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Two branches off the window: client approves (release now) · window lapses (autoRelease on-chain)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Dispute branch: Complaint → Triage → Jury panel drawn → Commit → Reveal → Verdict → on-chain split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phases released  →  Hire COMPLETED  →  mutual reviews  →  withdrawal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Draw it in draw.io or Lucidchart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and export as PNG at 300 dpi, 3:2. A screenshot of a whiteboard will look exactly like a screenshot of a whiteboard on the projector.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14 — Implementation with Results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(32 pt) + picture frame at 1.54, 1.94 (5.33 × 3.12 in) + text box below at 0.91, 5.05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51 words, 2 paragraphs, 20 pt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Screenshot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5-step Post-a-Job builder (review step, showing the multi-role line items and auto-summed budget)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Implementation with Results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A client publishes a multi-role job through the five-step builder; it appears in the worker's Find Jobs feed immediately, and workers apply with a quoted rate.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Accepting an applicant opens the milestone planner, where the total is split into 2 to 8 phases. The server rejects any plan whose phase amounts do not sum to the agreed total.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56 of 51 — cut “immediately, and” if it runs long.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15 — Implementation: Contract &amp; Signatures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(36 pt) + text box LEFT at 0.59, 1.95 (4.65 × 5.54 in) + picture frame RIGHT at 4.40, 1.71 (5.60 × 3.75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80 words: a bold “Some observations:” heading + 3 items at 19 pt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Screenshot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contract signing screen showing the document hash and both signature blocks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Implementation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Some observations: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Both sides render the same contract text and the same SHA-256 hash, so the two parties provably cannot see different terms.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Signing records the typed legal name, timestamp and IP against that hash; the second signer's recomputed hash must match the first's or the contract is void.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Funding is blocked until both signatures exist — and that gate is checked before the KYC gate, so the user is shown the real blocker first.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68 of 80.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16 — On-Chain Settlement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title box — a bold heading line, picture frame at 2.40, 1.64 (4.57 × 2.51 in), then a wide explanation rectangle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121 words, 2 paragraphs — this rectangle overruns the slide bottom, so do not exceed it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Screenshot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Phase Tracker with FUND and RELEASE transaction hashes visible, or the block explorer page for one of them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Result of a funded phase — on-chain settlement :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Funding a phase runs three on-chain transactions — a mint of the test stablecoin as a mock on-ramp, an approve, then fundPhase — all signed by the client's custodial wallet, and each is written back as an EscrowTransaction row carrying its real transaction hash.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When the client approves, approveRelease moves the locked amount to the worker's payout address. In the recorded run the worker's on-chain balance moved from 0 to 2,500 cwINR and the phase escrow emptied to zero in the same block, which is what makes the release verifiable rather than merely reported.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91 of 121.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Slides 17–20 — System Analysis &amp; Test Results  (4 IMAGES)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Four numbered findings, one per slide, each with a screenshot under it. Slide 17 carries the section title; slides 18, 19 and 20 have a deliberately blank title so the section reads as continuous — keep them blank.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100"/>
        <w:gridCol w:w="1450"/>
        <w:gridCol w:w="1500"/>
        <w:gridCol w:w="5350"/>
      </w:tblGrid>
      <w:tr>
        <w:trPr>
          <w:tblHeader/>
        </w:trPr>
        <w:tc>
          <w:tcPr>
            <w:tcW w:type="dxa" w:w="11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145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 box</w:t>
            </w:r>
          </w:p>
        </w:tc>
        <w:tc>
          <w:tcPr>
            <w:tcW w:type="dxa" w:w="15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Picture frame</w:t>
            </w:r>
          </w:p>
        </w:tc>
        <w:tc>
          <w:tcPr>
            <w:tcW w:type="dxa" w:w="535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36 pt + text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5.63 × 3.52 in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Auto-release</w:t>
            </w:r>
          </w:p>
        </w:tc>
      </w:tr>
      <w:tr>
        <w:tc>
          <w:tcPr>
            <w:tcW w:type="dxa" w:w="11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4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Blank title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6.32 × 3.67 in</w:t>
            </w:r>
          </w:p>
        </w:tc>
        <w:tc>
          <w:tcPr>
            <w:tcW w:type="dxa" w:w="53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Dispute resolution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Blank title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6.30 × 3.83 in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Contract test suite</w:t>
            </w:r>
          </w:p>
        </w:tc>
      </w:tr>
      <w:tr>
        <w:tc>
          <w:tcPr>
            <w:tcW w:type="dxa" w:w="11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4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Blank title</w:t>
            </w:r>
          </w:p>
        </w:tc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7.07 × 4.06 in</w:t>
            </w:r>
          </w:p>
        </w:tc>
        <w:tc>
          <w:tcPr>
            <w:tcW w:type="dxa" w:w="535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Two-database boundary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Slide 17 — paste this  (≤ 37 words)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System Analysis &amp; Test Results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1.  Automatic release: with the verification window lapsed and the reminder cap spent, the scheduled tick called autoRelease and paid the worker ₹3,000 with no client action. Running the same tick again changed nothing, confirming the transition is idempotent.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Screenshot: the cron/tick log line plus the worker's balance before and after.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Slide 18 — paste this  (≤ 31 words, blank title)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2.  Dispute resolution: a five-juror panel was drawn excluding both parties. A reveal with the wrong salt was rejected, and three SPLIT proposals of 60, 40 and 50 finalised at the median of 50.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Screenshot: the dispute case page showing the panel, the rejected reveal and the final verdict.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Slide 19 — paste this  (≤ 24 words, blank title)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3.  Contract test suite: 31 Hardhat tests pass over PhaseEscrow, covering double funding, release of an unfunded phase, early auto-release, dispute freeze and reentrancy.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Screenshot: the terminal showing “31 passing”.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Slide 20 — paste this  (≤ 18 words, blank title)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4.  Two-database boundary: an automated test fails the build if any admin file except the bridge imports the platform database.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Screenshot: the terminal showing the application test run passing, with the boundary test named.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21 — End-to-End Transaction Trail  (1 IMAGE)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at 0.69, 1.15 (32 pt) + one large picture at 1.33, 2.27 (6.97 × 4.84 in). No body text.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≤ 5 words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Screenshot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completed hire: all five phases RELEASED, each with its transaction hash — or the explorer view of that trail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End-to-end escrow transaction trail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This is your strongest slide.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It is the one that proves the money actually moved. Crop it so the hashes are legible at the back of the room — if they are not readable, zoom the browser to 125% and re-capture rather than enlarging the image afterwards.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22 — Observations from the Results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at 0.84, 0.64 (32 pt) + bulleted content placeholder at 0.84, 2.50 (7.97 × 4.40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67 words, 3 bullets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Each bullet is a security or trust property you demonstrated — not a repeat of the results.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Observations from the results: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Money moves only along paths the contract allows; no function can drain escrow to any address other than the recorded worker or client.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Timing is enforced on-chain, not by the server — autoRelease reverts before its deadline, so a compromised backend cannot release early.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The peer jury removes the platform from the verdict; the platform only executes the split the panel voted for.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65 of 67. ✓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23 — Conclusion &amp; Future Work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text box (36 pt) + content placeholder at 0.75, 1.94 (8.82 × 4.96 in). A stray empty rectangle sits behind — leave it.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≤ 198 words, 2 paragraphs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Paragraph 1 = what is done and verified. Paragraph 2 = what real money would require.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b/>
          <w:bCs/>
          <w:color w:val="13270F"/>
          <w:sz w:val="20"/>
          <w:szCs w:val="20"/>
        </w:rPr>
        <w:t xml:space="preserve">Conclusion &amp; Future work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ChainWork shows that the trust problem in local daily-wage work can be handled by structure rather than by reputation alone. A job is split into phases, each phase is funded before it starts, both sides sign one hash-bound contract, and release is decided by approval, by an on-chain timer, or by a staked peer jury. The system is feature-complete on the Polygon Amoy testnet: 31 contract tests and 18 application tests pass, and a full hire — post, apply, plan, sign, fund, deliver, release, auto-release, dispute and withdraw — has been driven end to end and captured.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The work ahead is dominated by what real money demands. Custodial keys must move from a development mnemonic to an HSM or a managed custody provider, gas must be sponsored through a meta-transaction relayer, and the mock on- and off-ramps must be replaced by a regulated payment processor. The contract must clear a professional audit before mainnet, and the in-memory rate limiter must move to a shared store. Beyond that, juror selection can be weighted by domain expertise, and a native mobile client would suit the workers this platform is built for.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2A5B2A"/>
          <w:sz w:val="19"/>
          <w:szCs w:val="19"/>
        </w:rPr>
        <w:t xml:space="preserve">Word count: 191 of 198. ✓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Do not overstate.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Say “feature-complete on testnet, not audited, no real funds” explicitly. An examiner who suspects you are claiming a production payment system will spend the whole viva there. Owning the limitation closes that line of questioning in one sentence.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24 — References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(36 pt) + text box at 0.83, 2.02 (8.43 × 5.35 in) at 13 pt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 entries, ≤ 262 words total. 13 pt is intentional — do not enlarge it.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Numbering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[1]–[10] here, [11]–[18] on slide 25. Numbers must match the brackets you used on slides 3, 5 and 6.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1.  Szabo, N. (1997). Formalizing and securing relationships on public networks. First Monday, 2(9).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2.  Christidis, K., &amp; Devetsikiotis, M. (2016). Blockchains and smart contracts for the Internet of Things. IEEE Access, 4, 2292–2303.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3.  Ast, F., Lesaege, C., &amp; George, W. (2019). Kleros: Long paper v2.0.2. Kleros Cooperative.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4.  Atzei, N., Bartoletti, M., &amp; Cimoli, T. (2017). A survey of attacks on Ethereum smart contracts (SoK). In Principles of Security and Trust (POST 2017), LNCS 10204 (pp. 164–186). Springer.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5.  Wang, S., Ouyang, L., Yuan, Y., Ni, X., Han, X., &amp; Wang, F.-Y. (2019). Blockchain-enabled smart contracts: Architecture, applications, and future trends. IEEE Transactions on Systems, Man, and Cybernetics: Systems, 49(11), 2266–2277.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6.  Luu, L., Chu, D.-H., Olickel, H., Saxena, P., &amp; Hobor, A. (2016). Making smart contracts smarter. In Proceedings of the 2016 ACM SIGSAC Conference on Computer and Communications Security (CCS) (pp. 254–269). ACM.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7.  Wüst, K., &amp; Gervais, A. (2018). Do you need a blockchain? In 2018 Crypto Valley Conference on Blockchain Technology (CVCBT) (pp. 45–54). IEEE.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8.  Zheng, Z., Xie, S., Dai, H., Chen, X., &amp; Wang, H. (2017). An overview of blockchain technology: Architecture, consensus, and future trends. In 2017 IEEE International Congress on Big Data (pp. 557–564). IEEE.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9.  Rouhani, S., &amp; Deters, R. (2019). Security, performance, and applications of smart contracts: A systematic survey. IEEE Access, 7, 50759–50779.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10.  Buterin, V. (2014). Ethereum: A next-generation smart contract and decentralized application platform. Ethereum Foundation White Paper.</w:t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Open every one of these before you submit.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Confirm the volume, year and page range on the publisher's site. A citation you cannot produce on request is worse than one fewer citation.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25 — Web References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Title (36 pt) + content placeholder at 0.84, 2.50 (7.97 × 4.40 in)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Budget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entries, numbered 11–18, continuing from slide 24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Tip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Strip the hyperlink formatting so the links render in the theme colour rather than default blue-underline.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3A3A3A"/>
          <w:sz w:val="21"/>
          <w:szCs w:val="21"/>
        </w:rPr>
        <w:t xml:space="preserve">Paste this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11.  https://docs.soliditylang.org/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12.  https://hardhat.org/docs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13.  https://docs.openzeppelin.com/contracts/5.x/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14.  https://viem.sh/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15.  https://nextjs.org/docs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16.  https://www.prisma.io/docs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17.  https://docs.polygon.technology/</w:t>
      </w:r>
    </w:p>
    <w:p>
      <w:pPr>
        <w:shd w:fill="F3F7F3" w:val="clear"/>
        <w:spacing w:after="70" w:line="260"/>
        <w:ind w:left="360"/>
      </w:pPr>
      <w:r>
        <w:rPr>
          <w:rFonts w:ascii="Calibri" w:cs="Calibri" w:eastAsia="Calibri" w:hAnsi="Calibri"/>
          <w:color w:val="13270F"/>
          <w:sz w:val="20"/>
          <w:szCs w:val="20"/>
        </w:rPr>
        <w:t xml:space="preserve">18.  https://faucet.polygon.technology/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Slide 26 — Thank you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1500"/>
        <w:gridCol w:w="7900"/>
      </w:tblGrid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7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centred line, “Thank you”, 96 pt bold</w:t>
            </w:r>
          </w:p>
        </w:tc>
      </w:tr>
      <w:tr>
        <w:tc>
          <w:tcPr>
            <w:tcW w:type="dxa" w:w="15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You edit</w:t>
            </w:r>
          </w:p>
        </w:tc>
        <w:tc>
          <w:tcPr>
            <w:tcW w:type="dxa" w:w="7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Nothing. Leave this slide exactly as it 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D3D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6FA8"/>
          <w:sz w:val="30"/>
          <w:szCs w:val="30"/>
        </w:rPr>
        <w:t xml:space="preserve">Part C — Asset checklist (12 images)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frame below already exists in the template. Fill each one with Right-click → Change Picture → From a File. Crop your capture to the listed size ratio first.</w:t>
      </w:r>
    </w:p>
    <w:tbl>
      <w:tblPr>
        <w:tblW w:type="dxa" w:w="9400"/>
        <w:tblBorders>
          <w:top w:val="single" w:color="9FB4C4" w:sz="4"/>
          <w:left w:val="single" w:color="9FB4C4" w:sz="4"/>
          <w:bottom w:val="single" w:color="9FB4C4" w:sz="4"/>
          <w:right w:val="single" w:color="9FB4C4" w:sz="4"/>
          <w:insideH w:val="single" w:color="C2D2DE" w:sz="2"/>
          <w:insideV w:val="single" w:color="C2D2DE" w:sz="2"/>
        </w:tblBorders>
      </w:tblPr>
      <w:tblGrid>
        <w:gridCol w:w="900"/>
        <w:gridCol w:w="1700"/>
        <w:gridCol w:w="6800"/>
      </w:tblGrid>
      <w:tr>
        <w:trPr>
          <w:tblHeader/>
        </w:trPr>
        <w:tc>
          <w:tcPr>
            <w:tcW w:type="dxa" w:w="9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17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Frame size</w:t>
            </w:r>
          </w:p>
        </w:tc>
        <w:tc>
          <w:tcPr>
            <w:tcW w:type="dxa" w:w="6800"/>
            <w:shd w:fill="1F6F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capture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 ①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5.31 × 1.42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 dispute console — drawn panel + “3 of 5 committed” counter (wide strip)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 ②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3.70 × 1.06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Reveal row where a wrong-salt reveal was rejected (wide strip)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 ③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3.31 × 1.10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Finalised verdict line — SPLIT @ 50% (wide strip)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2.91 × 1.26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Juror stake and reputation before/after settlement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7.09 × 4.72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Project flow chart — draw in draw.io, export PNG at 300 dpi, 3:2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5.33 × 3.12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Post-a-Job builder, review step, multi-role line items and summed budget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5.60 × 3.75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Contract signing screen — document hash + both signature blocks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4.57 × 2.51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Phase Tracker with FUND and RELEASE transaction hashes (or the explorer page)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5.63 × 3.52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Auto-release: tick log line + worker balance before and after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6.32 × 3.67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Dispute case page: panel, rejected reveal, final verdict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6.30 × 3.83 in</w:t>
            </w:r>
          </w:p>
        </w:tc>
        <w:tc>
          <w:tcPr>
            <w:tcW w:type="dxa" w:w="6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Terminal — “31 passing” from the Hardhat contract suite</w:t>
            </w:r>
          </w:p>
        </w:tc>
      </w:tr>
      <w:tr>
        <w:tc>
          <w:tcPr>
            <w:tcW w:type="dxa" w:w="9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7.07 × 4.06 in</w:t>
            </w:r>
          </w:p>
        </w:tc>
        <w:tc>
          <w:tcPr>
            <w:tcW w:type="dxa" w:w="6800"/>
            <w:shd w:fill="EE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Terminal — application test run passing, boundary test visible by name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Capture settings that survive a projector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 the light theme for every screenshot. Dark UI screenshots wash out on a lecture-hall projector and the campus-photo title slide sets a light expectation.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Zoom the browser to 125–150% before capturing, then crop tight. Never enlarge a small screenshot after the fact — that is what makes text look furry.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Crop out the browser chrome, tabs, bookmarks and the OS taskbar. Only the application should be in frame.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Capture at the frame's aspect ratio so PowerPoint does not distort it — e.g. slide 20 needs roughly 7:4, slide 15 roughly 3:2.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as PNG, not JPEG. Screenshots of text compress badly as JPEG.</w:t>
      </w:r>
    </w:p>
    <w:p>
      <w:r>
        <w:br w:type="page"/>
      </w:r>
    </w:p>
    <w:p>
      <w:pPr>
        <w:pStyle w:val="Heading1"/>
        <w:pBdr>
          <w:bottom w:val="single" w:color="C8D3DC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6FA8"/>
          <w:sz w:val="30"/>
          <w:szCs w:val="30"/>
        </w:rPr>
        <w:t xml:space="preserve">Part D — Final pass before you submit</w:t>
      </w:r>
    </w:p>
    <w:p>
      <w:pPr>
        <w:spacing w:after="14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 down this list once, with the deck open in Slide Sorter view. It takes about ten minutes and catches everything that costs marks.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Slide count is exactly 26.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placeholder text survives anywhere — search the deck for “XYZ”, “Enrollment-”, “Student name”, “Big Mart”, “ARIMA”, “R2”, “Item_”, “Outlet_”.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Slide 2's eight outline items match the actual section titles on slides 3, 4, 5, 7, 14, 17, 23 and 24.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Reference numbers in brackets on slides 3, 5 and 6 all resolve to an entry on slide 24 or 25.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Slides 18, 19 and 20 still have blank titles — that is correct, they continue slide 17's section.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overflows the slide edge. Check in Slide Sorter view, where an overflowing box is instantly visible.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Body text is the same size on every comparable slide — proof that Autofit did not silently shrink one of them.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12 picture frames are filled, none stretched, none pixelated at full-screen.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slide-number placeholder still appears bottom-right on all 26 slides.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Slide 1 still has the campus photo, the university logo and both corner graphics.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deck is still 4:3 (10 × 7.5 in). Design → Slide Size should read “On-screen Show (4:3)”.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claim on slides 14 to 22 is backed by the screenshot on that slide. Remove any claim you cannot show.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Slide 23 states plainly: testnet only, not audited, no real funds.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ten references on slide 24 have been opened and verified at the publisher's site.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URL on slide 25 loads.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3405F"/>
          <w:sz w:val="24"/>
          <w:szCs w:val="24"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.pptx on the machine you will present from, and confirm Tw Cen MT renders. If it re-wraps, present from the PDF export.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 a PDF as a backup and carry both on a USB drive as well as in cloud storage.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Rehearse once against a clock. Twenty-six slides for a mid-semester slot means roughly 30–40 seconds per slide — slides 9, 13, 16 and 21 deserve more, and slides 24–26 need almost none.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Prepare for the three questions you will certainly be asked: why blockchain rather than a database with an escrow account; what stops a juror colluding; and what happens if the worker never shows up.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Bdr>
          <w:left w:val="single" w:color="E0A200" w:sz="18" w:space="6"/>
        </w:pBdr>
        <w:shd w:fill="FFF6E3" w:val="clear"/>
        <w:spacing w:after="130" w:before="90" w:line="260"/>
        <w:ind w:left="172"/>
      </w:pPr>
      <w:r>
        <w:rPr>
          <w:rFonts w:ascii="Calibri" w:cs="Calibri" w:eastAsia="Calibri" w:hAnsi="Calibri"/>
          <w:b/>
          <w:bCs/>
          <w:color w:val="7A5200"/>
          <w:sz w:val="20"/>
          <w:szCs w:val="20"/>
        </w:rPr>
        <w:t xml:space="preserve">Three answers worth having ready.  </w:t>
      </w:r>
      <w:r>
        <w:rPr>
          <w:rFonts w:ascii="Calibri" w:cs="Calibri" w:eastAsia="Calibri" w:hAnsi="Calibri"/>
          <w:color w:val="3D2E00"/>
          <w:sz w:val="20"/>
          <w:szCs w:val="20"/>
        </w:rPr>
        <w:t xml:space="preserve">① Blockchain vs. database: the point is that the release rule is enforced somewhere neither party — including us — can quietly override; autoRelease reverts before its deadline even for the platform's own key. ② Juror collusion: the panel is drawn at random per case, excludes both parties, votes are hidden behind a commit hash until every juror has committed, and a minority vote is slashed. ③ Worker no-show: the funded phase is symmetric — it sends reminders, then auto-cancels, refunds the client, forfeits the worker's stake and records a strike.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73"/>
      </w:pPr>
    </w:lvl>
    <w:lvl w:ilvl="1" w15:tentative="1">
      <w:start w:val="1"/>
      <w:numFmt w:val="bullet"/>
      <w:lvlText w:val="◦"/>
      <w:lvlJc w:val="left"/>
      <w:pPr>
        <w:ind w:left="892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ChainWork — Project-II PPT Slide-by-Slide Fill Guide</dc:title>
  <dc:creator>Project-II Fill Guide</dc:creator>
  <dc:description>Slide-by-slide content and design guide for the Project-II mid-semester PPT template</dc:description>
  <cp:lastModifiedBy>Un-named</cp:lastModifiedBy>
  <cp:revision>1</cp:revision>
  <dcterms:created xsi:type="dcterms:W3CDTF">2026-08-27T08:58:32.220Z</dcterms:created>
  <dcterms:modified xsi:type="dcterms:W3CDTF">2026-08-27T08:58:32.221Z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