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5B4FE9"/>
          <w:sz w:val="64"/>
          <w:szCs w:val="64"/>
        </w:rPr>
        <w:t xml:space="preserve">PeoplePay360</w:t>
      </w:r>
    </w:p>
    <w:p>
      <w:pPr>
        <w:spacing w:after="60" w:before="120"/>
        <w:jc w:val="center"/>
      </w:pPr>
      <w:r>
        <w:rPr>
          <w:b/>
          <w:bCs/>
          <w:color w:val="1A1A2E"/>
          <w:sz w:val="34"/>
          <w:szCs w:val="34"/>
        </w:rPr>
        <w:t xml:space="preserve">HR &amp; Payroll Platform</w:t>
      </w:r>
    </w:p>
    <w:p>
      <w:pPr>
        <w:spacing w:after="500"/>
        <w:jc w:val="center"/>
      </w:pPr>
      <w:r>
        <w:rPr>
          <w:i/>
          <w:iCs/>
          <w:color w:val="6B7280"/>
          <w:sz w:val="24"/>
          <w:szCs w:val="24"/>
        </w:rPr>
        <w:t xml:space="preserve">Engineering README, Design System &amp; 4-Developer Parallel Build Playbook</w:t>
      </w:r>
    </w:p>
    <w:p>
      <w:pPr>
        <w:pBdr>
          <w:top w:val="single" w:color="5B4FE9" w:sz="6" w:space="8"/>
        </w:pBdr>
        <w:spacing w:after="400"/>
        <w:jc w:val="center"/>
      </w:pPr>
      <w:r>
        <w:t xml:space="preserve"/>
      </w:r>
    </w:p>
    <w:p>
      <w:pPr>
        <w:spacing w:after="60"/>
        <w:jc w:val="center"/>
      </w:pPr>
      <w:r>
        <w:rPr>
          <w:b w:val="false"/>
          <w:bCs w:val="false"/>
          <w:i w:val="false"/>
          <w:iCs w:val="false"/>
          <w:color w:val="1A1A2E"/>
          <w:sz w:val="21"/>
          <w:szCs w:val="21"/>
        </w:rPr>
        <w:t xml:space="preserve">Document Version : 1.0</w:t>
      </w:r>
    </w:p>
    <w:p>
      <w:pPr>
        <w:spacing w:after="60"/>
        <w:jc w:val="center"/>
      </w:pPr>
      <w:r>
        <w:rPr>
          <w:b w:val="false"/>
          <w:bCs w:val="false"/>
          <w:i w:val="false"/>
          <w:iCs w:val="false"/>
          <w:color w:val="1A1A2E"/>
          <w:sz w:val="21"/>
          <w:szCs w:val="21"/>
        </w:rPr>
        <w:t xml:space="preserve">Prepared : September 5, 2026</w:t>
      </w:r>
    </w:p>
    <w:p>
      <w:pPr>
        <w:spacing w:after="60"/>
        <w:jc w:val="center"/>
      </w:pPr>
      <w:r>
        <w:rPr>
          <w:b w:val="false"/>
          <w:bCs w:val="false"/>
          <w:i w:val="false"/>
          <w:iCs w:val="false"/>
          <w:color w:val="1A1A2E"/>
          <w:sz w:val="21"/>
          <w:szCs w:val="21"/>
        </w:rPr>
        <w:t xml:space="preserve">Squad Size : 4 Developers · 1 Shared Database</w:t>
      </w:r>
    </w:p>
    <w:p>
      <w:pPr>
        <w:spacing w:after="60"/>
        <w:jc w:val="center"/>
      </w:pPr>
      <w:r>
        <w:rPr>
          <w:b w:val="false"/>
          <w:bCs w:val="false"/>
          <w:i w:val="false"/>
          <w:iCs w:val="false"/>
          <w:color w:val="1A1A2E"/>
          <w:sz w:val="21"/>
          <w:szCs w:val="21"/>
        </w:rPr>
        <w:t xml:space="preserve">Reference Spec : PeoplePay360 – HR &amp; Payroll (Hackathon Brief)</w:t>
      </w:r>
    </w:p>
    <w:p>
      <w:pPr>
        <w:spacing w:after="60"/>
        <w:jc w:val="center"/>
      </w:pPr>
      <w:r>
        <w:rPr>
          <w:b w:val="false"/>
          <w:bCs w:val="false"/>
          <w:i w:val="false"/>
          <w:iCs w:val="false"/>
          <w:color w:val="1A1A2E"/>
          <w:sz w:val="21"/>
          <w:szCs w:val="21"/>
        </w:rPr>
        <w:t xml:space="preserve">Reference Theme : "Finnova" finance dashboard (UI.jpeg)</w:t>
      </w:r>
    </w:p>
    <w:p>
      <w:r>
        <w:br w:type="page"/>
      </w:r>
    </w:p>
    <w:p>
      <w:pPr>
        <w:pStyle w:val="Heading1"/>
        <w:spacing w:after="160" w:before="400"/>
      </w:pPr>
      <w:r>
        <w:t xml:space="preserve">Table of Contents</w:t>
      </w:r>
    </w:p>
    <w:p>
      <w:pPr>
        <w:spacing w:after="100"/>
      </w:pPr>
      <w:r>
        <w:rPr>
          <w:color w:val="1A1A2E"/>
          <w:sz w:val="22"/>
          <w:szCs w:val="22"/>
        </w:rPr>
        <w:t xml:space="preserve">1. Project Overview</w:t>
      </w:r>
    </w:p>
    <w:p>
      <w:pPr>
        <w:spacing w:after="100"/>
      </w:pPr>
      <w:r>
        <w:rPr>
          <w:color w:val="1A1A2E"/>
          <w:sz w:val="22"/>
          <w:szCs w:val="22"/>
        </w:rPr>
        <w:t xml:space="preserve">2. User Roles &amp; Permission Matrix</w:t>
      </w:r>
    </w:p>
    <w:p>
      <w:pPr>
        <w:spacing w:after="100"/>
      </w:pPr>
      <w:r>
        <w:rPr>
          <w:color w:val="1A1A2E"/>
          <w:sz w:val="22"/>
          <w:szCs w:val="22"/>
        </w:rPr>
        <w:t xml:space="preserve">3. Functional Module Reference</w:t>
      </w:r>
    </w:p>
    <w:p>
      <w:pPr>
        <w:spacing w:after="100"/>
      </w:pPr>
      <w:r>
        <w:rPr>
          <w:color w:val="1A1A2E"/>
          <w:sz w:val="22"/>
          <w:szCs w:val="22"/>
        </w:rPr>
        <w:t xml:space="preserve">4. UI Design System — Reference Theme</w:t>
      </w:r>
    </w:p>
    <w:p>
      <w:pPr>
        <w:spacing w:after="100"/>
      </w:pPr>
      <w:r>
        <w:rPr>
          <w:color w:val="1A1A2E"/>
          <w:sz w:val="22"/>
          <w:szCs w:val="22"/>
        </w:rPr>
        <w:t xml:space="preserve">5. Screen → Component Mapping</w:t>
      </w:r>
    </w:p>
    <w:p>
      <w:pPr>
        <w:spacing w:after="100"/>
      </w:pPr>
      <w:r>
        <w:rPr>
          <w:color w:val="1A1A2E"/>
          <w:sz w:val="22"/>
          <w:szCs w:val="22"/>
        </w:rPr>
        <w:t xml:space="preserve">6. Technical Architecture</w:t>
      </w:r>
    </w:p>
    <w:p>
      <w:pPr>
        <w:spacing w:after="100"/>
      </w:pPr>
      <w:r>
        <w:rPr>
          <w:color w:val="1A1A2E"/>
          <w:sz w:val="22"/>
          <w:szCs w:val="22"/>
        </w:rPr>
        <w:t xml:space="preserve">7. Database Design &amp; Table Ownership</w:t>
      </w:r>
    </w:p>
    <w:p>
      <w:pPr>
        <w:spacing w:after="100"/>
      </w:pPr>
      <w:r>
        <w:rPr>
          <w:color w:val="1A1A2E"/>
          <w:sz w:val="22"/>
          <w:szCs w:val="22"/>
        </w:rPr>
        <w:t xml:space="preserve">8. Repository &amp; Folder Structure</w:t>
      </w:r>
    </w:p>
    <w:p>
      <w:pPr>
        <w:spacing w:after="100"/>
      </w:pPr>
      <w:r>
        <w:rPr>
          <w:color w:val="1A1A2E"/>
          <w:sz w:val="22"/>
          <w:szCs w:val="22"/>
        </w:rPr>
        <w:t xml:space="preserve">9. Work Division — 4 Developer Squads</w:t>
      </w:r>
    </w:p>
    <w:p>
      <w:pPr>
        <w:spacing w:after="100"/>
      </w:pPr>
      <w:r>
        <w:rPr>
          <w:color w:val="1A1A2E"/>
          <w:sz w:val="22"/>
          <w:szCs w:val="22"/>
        </w:rPr>
        <w:t xml:space="preserve">10. Git Workflow &amp; Conflict-Avoidance Protocol</w:t>
      </w:r>
    </w:p>
    <w:p>
      <w:pPr>
        <w:spacing w:after="100"/>
      </w:pPr>
      <w:r>
        <w:rPr>
          <w:color w:val="1A1A2E"/>
          <w:sz w:val="22"/>
          <w:szCs w:val="22"/>
        </w:rPr>
        <w:t xml:space="preserve">11. API Contract Convention</w:t>
      </w:r>
    </w:p>
    <w:p>
      <w:pPr>
        <w:spacing w:after="100"/>
      </w:pPr>
      <w:r>
        <w:rPr>
          <w:color w:val="1A1A2E"/>
          <w:sz w:val="22"/>
          <w:szCs w:val="22"/>
        </w:rPr>
        <w:t xml:space="preserve">12. Phase-Wise Development Plan</w:t>
      </w:r>
    </w:p>
    <w:p>
      <w:pPr>
        <w:spacing w:after="100"/>
      </w:pPr>
      <w:r>
        <w:rPr>
          <w:color w:val="1A1A2E"/>
          <w:sz w:val="22"/>
          <w:szCs w:val="22"/>
        </w:rPr>
        <w:t xml:space="preserve">13. Edge-Case &amp; Validation Checklist</w:t>
      </w:r>
    </w:p>
    <w:p>
      <w:pPr>
        <w:spacing w:after="100"/>
      </w:pPr>
      <w:r>
        <w:rPr>
          <w:color w:val="1A1A2E"/>
          <w:sz w:val="22"/>
          <w:szCs w:val="22"/>
        </w:rPr>
        <w:t xml:space="preserve">14. Demo Script — the Amara Chen Scenario</w:t>
      </w:r>
    </w:p>
    <w:p>
      <w:pPr>
        <w:spacing w:after="100"/>
      </w:pPr>
      <w:r>
        <w:rPr>
          <w:color w:val="1A1A2E"/>
          <w:sz w:val="22"/>
          <w:szCs w:val="22"/>
        </w:rPr>
        <w:t xml:space="preserve">15. Risks, Mitigations &amp; Communication</w:t>
      </w:r>
    </w:p>
    <w:p>
      <w:pPr>
        <w:spacing w:after="100"/>
      </w:pPr>
      <w:r>
        <w:rPr>
          <w:color w:val="1A1A2E"/>
          <w:sz w:val="22"/>
          <w:szCs w:val="22"/>
        </w:rPr>
        <w:t xml:space="preserve">Appendix A — Reference Documentation</w:t>
      </w:r>
    </w:p>
    <w:p>
      <w:pPr>
        <w:spacing w:after="100"/>
      </w:pPr>
      <w:r>
        <w:rPr>
          <w:color w:val="1A1A2E"/>
          <w:sz w:val="22"/>
          <w:szCs w:val="22"/>
        </w:rPr>
        <w:t xml:space="preserve">Appendix B — Glossary</w:t>
      </w:r>
    </w:p>
    <w:p>
      <w:pPr>
        <w:spacing w:after="100"/>
      </w:pPr>
      <w:r>
        <w:rPr>
          <w:b w:val="false"/>
          <w:bCs w:val="false"/>
          <w:i/>
          <w:iCs/>
          <w:color w:val="6B7280"/>
          <w:sz w:val="21"/>
          <w:szCs w:val="21"/>
        </w:rPr>
        <w:t xml:space="preserve">(Headings use Word's built-in Heading styles — open the Navigation Pane in Word for clickable jump-to-section links.)</w:t>
      </w:r>
    </w:p>
    <w:p>
      <w:r>
        <w:br w:type="page"/>
      </w:r>
    </w:p>
    <w:p>
      <w:pPr>
        <w:pStyle w:val="Heading1"/>
        <w:spacing w:after="160" w:before="400"/>
      </w:pPr>
      <w:r>
        <w:t xml:space="preserve">1. Project Overview</w:t>
      </w:r>
    </w:p>
    <w:p>
      <w:pPr>
        <w:spacing w:after="140"/>
      </w:pPr>
      <w:r>
        <w:rPr>
          <w:b w:val="false"/>
          <w:bCs w:val="false"/>
          <w:i w:val="false"/>
          <w:iCs w:val="false"/>
          <w:color w:val="1A1A2E"/>
          <w:sz w:val="21"/>
          <w:szCs w:val="21"/>
        </w:rPr>
        <w:t xml:space="preserve">PeoplePay360 is an integrated HR &amp; Payroll operations platform. The brief is explicit that the bar for success is not a set of CRUD screens — it is a connected operational flow where Employee, Contract, Working Schedule, Attendance, Time Off and Salary Rules all reconcile into one consistent number on a payslip.</w:t>
      </w:r>
    </w:p>
    <w:p>
      <w:pPr>
        <w:spacing w:after="140"/>
      </w:pPr>
      <w:r>
        <w:rPr>
          <w:b w:val="false"/>
          <w:bCs w:val="false"/>
          <w:i w:val="false"/>
          <w:iCs w:val="false"/>
          <w:color w:val="1A1A2E"/>
          <w:sz w:val="21"/>
          <w:szCs w:val="21"/>
        </w:rPr>
        <w:t xml:space="preserve">This document is the engineering README for the build. It captures, in one place:</w:t>
      </w:r>
    </w:p>
    <w:p>
      <w:pPr>
        <w:pStyle w:val="ListParagraph"/>
        <w:numPr>
          <w:ilvl w:val="0"/>
          <w:numId w:val="1"/>
        </w:numPr>
        <w:spacing w:after="60"/>
      </w:pPr>
      <w:r>
        <w:rPr>
          <w:color w:val="1A1A2E"/>
          <w:sz w:val="21"/>
          <w:szCs w:val="21"/>
        </w:rPr>
        <w:t xml:space="preserve">A condensed, developer-facing reading of the functional spec and every edge case called out in the walkthrough scenario.</w:t>
      </w:r>
    </w:p>
    <w:p>
      <w:pPr>
        <w:pStyle w:val="ListParagraph"/>
        <w:numPr>
          <w:ilvl w:val="0"/>
          <w:numId w:val="1"/>
        </w:numPr>
        <w:spacing w:after="60"/>
      </w:pPr>
      <w:r>
        <w:rPr>
          <w:color w:val="1A1A2E"/>
          <w:sz w:val="21"/>
          <w:szCs w:val="21"/>
        </w:rPr>
        <w:t xml:space="preserve">A visual design system derived from the supplied reference theme (“Finnova”), translated into concrete tokens and component specs for every screen in the wireframes.</w:t>
      </w:r>
    </w:p>
    <w:p>
      <w:pPr>
        <w:pStyle w:val="ListParagraph"/>
        <w:numPr>
          <w:ilvl w:val="0"/>
          <w:numId w:val="1"/>
        </w:numPr>
        <w:spacing w:after="60"/>
      </w:pPr>
      <w:r>
        <w:rPr>
          <w:color w:val="1A1A2E"/>
          <w:sz w:val="21"/>
          <w:szCs w:val="21"/>
        </w:rPr>
        <w:t xml:space="preserve">A technical architecture, database ownership model and repository layout built specifically so four developers can work against one shared database with minimal merge/schema conflicts.</w:t>
      </w:r>
    </w:p>
    <w:p>
      <w:pPr>
        <w:pStyle w:val="ListParagraph"/>
        <w:numPr>
          <w:ilvl w:val="0"/>
          <w:numId w:val="1"/>
        </w:numPr>
        <w:spacing w:after="60"/>
      </w:pPr>
      <w:r>
        <w:rPr>
          <w:color w:val="1A1A2E"/>
          <w:sz w:val="21"/>
          <w:szCs w:val="21"/>
        </w:rPr>
        <w:t xml:space="preserve">A phase-wise delivery plan with clear per-developer ownership, exit criteria and an edge-case checklist to sign off against before the demo.</w:t>
      </w:r>
    </w:p>
    <w:p>
      <w:pPr>
        <w:pStyle w:val="Heading2"/>
        <w:spacing w:after="120" w:before="260"/>
      </w:pPr>
      <w:r>
        <w:t xml:space="preserve">1.1 Core Principle</w:t>
      </w:r>
    </w:p>
    <w:p>
      <w:pPr>
        <w:spacing w:after="140"/>
      </w:pPr>
      <w:r>
        <w:rPr>
          <w:b w:val="false"/>
          <w:bCs w:val="false"/>
          <w:i w:val="false"/>
          <w:iCs w:val="false"/>
          <w:color w:val="1A1A2E"/>
          <w:sz w:val="21"/>
          <w:szCs w:val="21"/>
        </w:rPr>
        <w:t xml:space="preserve">Employee is the hub. Contracts and Working Schedules give payroll its context. Attendance and Time Off capture day-to-day activity. Salary Structures/Rules define computation. Payruns turn eligible employees into validated, printable, emailable Payslips. Every module below is designed around keeping that chain intact end-to-end — this is also why the work split in Section 9 is organized around that chain rather than around “frontend vs backend.”</w:t>
      </w:r>
    </w:p>
    <w:p>
      <w:pPr>
        <w:pStyle w:val="Heading2"/>
        <w:spacing w:after="120" w:before="260"/>
      </w:pPr>
      <w:r>
        <w:t xml:space="preserve">1.2 Key Outcomes (from the brief)</w:t>
      </w:r>
    </w:p>
    <w:p>
      <w:pPr>
        <w:pStyle w:val="ListParagraph"/>
        <w:numPr>
          <w:ilvl w:val="0"/>
          <w:numId w:val="1"/>
        </w:numPr>
        <w:spacing w:after="60"/>
      </w:pPr>
      <w:r>
        <w:rPr>
          <w:color w:val="1A1A2E"/>
          <w:sz w:val="21"/>
          <w:szCs w:val="21"/>
        </w:rPr>
        <w:t xml:space="preserve">Unified HR flow: one Employee hub with seamless navigation to Contracts, Attendance and Time Off.</w:t>
      </w:r>
    </w:p>
    <w:p>
      <w:pPr>
        <w:pStyle w:val="ListParagraph"/>
        <w:numPr>
          <w:ilvl w:val="0"/>
          <w:numId w:val="1"/>
        </w:numPr>
        <w:spacing w:after="60"/>
      </w:pPr>
      <w:r>
        <w:rPr>
          <w:color w:val="1A1A2E"/>
          <w:sz w:val="21"/>
          <w:szCs w:val="21"/>
        </w:rPr>
        <w:t xml:space="preserve">Contract management that preserves history while guaranteeing payroll only ever uses the one active, period-specific contract.</w:t>
      </w:r>
    </w:p>
    <w:p>
      <w:pPr>
        <w:pStyle w:val="ListParagraph"/>
        <w:numPr>
          <w:ilvl w:val="0"/>
          <w:numId w:val="1"/>
        </w:numPr>
        <w:spacing w:after="60"/>
      </w:pPr>
      <w:r>
        <w:rPr>
          <w:color w:val="1A1A2E"/>
          <w:sz w:val="21"/>
          <w:szCs w:val="21"/>
        </w:rPr>
        <w:t xml:space="preserve">Operational tracking: flexible Working Schedules, Attendance with exception handling, and full Time Off (requests + allocations).</w:t>
      </w:r>
    </w:p>
    <w:p>
      <w:pPr>
        <w:pStyle w:val="ListParagraph"/>
        <w:numPr>
          <w:ilvl w:val="0"/>
          <w:numId w:val="1"/>
        </w:numPr>
        <w:spacing w:after="60"/>
      </w:pPr>
      <w:r>
        <w:rPr>
          <w:color w:val="1A1A2E"/>
          <w:sz w:val="21"/>
          <w:szCs w:val="21"/>
        </w:rPr>
        <w:t xml:space="preserve">Payroll processing via a two-step Payrun wizard, with clear payslip breakdowns and validation warnings.</w:t>
      </w:r>
    </w:p>
    <w:p>
      <w:pPr>
        <w:pStyle w:val="ListParagraph"/>
        <w:numPr>
          <w:ilvl w:val="0"/>
          <w:numId w:val="1"/>
        </w:numPr>
        <w:spacing w:after="60"/>
      </w:pPr>
      <w:r>
        <w:rPr>
          <w:color w:val="1A1A2E"/>
          <w:sz w:val="21"/>
          <w:szCs w:val="21"/>
        </w:rPr>
        <w:t xml:space="preserve">A centralized Payroll Dashboard aggregating live HR/Payroll data by Period, Department and Employee Type.</w:t>
      </w:r>
    </w:p>
    <w:p>
      <w:r>
        <w:br w:type="page"/>
      </w:r>
    </w:p>
    <w:p>
      <w:pPr>
        <w:pStyle w:val="Heading1"/>
        <w:spacing w:after="160" w:before="400"/>
      </w:pPr>
      <w:r>
        <w:t xml:space="preserve">2. User Roles &amp; Permission Matrix</w:t>
      </w:r>
    </w:p>
    <w:p>
      <w:pPr>
        <w:spacing w:after="140"/>
      </w:pPr>
      <w:r>
        <w:rPr>
          <w:b w:val="false"/>
          <w:bCs w:val="false"/>
          <w:i w:val="false"/>
          <w:iCs w:val="false"/>
          <w:color w:val="1A1A2E"/>
          <w:sz w:val="21"/>
          <w:szCs w:val="21"/>
        </w:rPr>
        <w:t xml:space="preserve">Five roles are defined in the brief. Enforcement must happen at the API/query layer, not only by hiding UI buttons — an HR Manager must be blocked from Payroll screens even by direct URL, and a plain Employee must never be able to fetch another employee's attendance, leave balance or salary.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65"/>
        <w:gridCol w:w="3139"/>
        <w:gridCol w:w="1465"/>
        <w:gridCol w:w="1569"/>
        <w:gridCol w:w="1360"/>
        <w:gridCol w:w="1465"/>
      </w:tblGrid>
      <w:tr>
        <w:trPr>
          <w:tblHeader/>
        </w:trPr>
        <w:tc>
          <w:tcPr>
            <w:tcW w:type="dxa" w:w="146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Role</w:t>
            </w:r>
          </w:p>
        </w:tc>
        <w:tc>
          <w:tcPr>
            <w:tcW w:type="dxa" w:w="313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HR Modules (Employees / Contracts / Schedules / Attendance / Time Off)</w:t>
            </w:r>
          </w:p>
        </w:tc>
        <w:tc>
          <w:tcPr>
            <w:tcW w:type="dxa" w:w="146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Salary Structures &amp; Rules</w:t>
            </w:r>
          </w:p>
        </w:tc>
        <w:tc>
          <w:tcPr>
            <w:tcW w:type="dxa" w:w="156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Payruns &amp; Payslips</w:t>
            </w:r>
          </w:p>
        </w:tc>
        <w:tc>
          <w:tcPr>
            <w:tcW w:type="dxa" w:w="1360"/>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User &amp; Role Management</w:t>
            </w:r>
          </w:p>
        </w:tc>
        <w:tc>
          <w:tcPr>
            <w:tcW w:type="dxa" w:w="146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Payroll Dashboard</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Own profile, own attendance &amp; own leave balance only (view). Can create own attendance entries and Time Off requests.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HR Manager</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CRUD on all HR modules for all employees. Can approve/refuse Time Off requests.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 — blocked even via direct URL</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HR Payroll User</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All HR Manager permissions.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Read-only</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Create, Read, Update</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View only</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HR Payroll Manager</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All HR Payroll User permissions.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CRUD</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CRUD</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 access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view</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Admin</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access to every module.</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CRUD</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CRUD</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 create users, assign/revoke roles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view</w:t>
            </w:r>
          </w:p>
        </w:tc>
      </w:tr>
    </w:tbl>
    <w:p>
      <w:pPr>
        <w:spacing w:after="160"/>
      </w:pPr>
    </w:p>
    <w:p>
      <w:pPr>
        <w:spacing w:after="140"/>
      </w:pPr>
      <w:r>
        <w:rPr>
          <w:b w:val="false"/>
          <w:bCs w:val="false"/>
          <w:i/>
          <w:iCs/>
          <w:color w:val="1A1A2E"/>
          <w:sz w:val="21"/>
          <w:szCs w:val="21"/>
        </w:rPr>
        <w:t xml:space="preserve">Login &amp; access, from the wireframes: accounts are created by an Administrator only (no self-signup). Creating a user links it to an existing Employee record and assigns exactly one of the five roles above. Users must not be able to assign or elevate their own role. After sign-in, only the modules and actions allowed by the assigned role are shown.</w:t>
      </w:r>
    </w:p>
    <w:p>
      <w:r>
        <w:br w:type="page"/>
      </w:r>
    </w:p>
    <w:p>
      <w:pPr>
        <w:pStyle w:val="Heading1"/>
        <w:spacing w:after="160" w:before="400"/>
      </w:pPr>
      <w:r>
        <w:t xml:space="preserve">3. Functional Module Reference</w:t>
      </w:r>
    </w:p>
    <w:p>
      <w:pPr>
        <w:spacing w:after="140"/>
      </w:pPr>
      <w:r>
        <w:rPr>
          <w:b w:val="false"/>
          <w:bCs w:val="false"/>
          <w:i w:val="false"/>
          <w:iCs w:val="false"/>
          <w:color w:val="1A1A2E"/>
          <w:sz w:val="21"/>
          <w:szCs w:val="21"/>
        </w:rPr>
        <w:t xml:space="preserve">A condensed map of every module in the brief to a single owning squad (see Section 9 for full squad definitions). This table is the source of truth for “who builds what.”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
        <w:gridCol w:w="2093"/>
        <w:gridCol w:w="1569"/>
        <w:gridCol w:w="5756"/>
      </w:tblGrid>
      <w:tr>
        <w:trPr>
          <w:tblHeader/>
        </w:trPr>
        <w:tc>
          <w:tcPr>
            <w:tcW w:type="dxa" w:w="1046"/>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Spec Code</w:t>
            </w:r>
          </w:p>
        </w:tc>
        <w:tc>
          <w:tcPr>
            <w:tcW w:type="dxa" w:w="209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Module</w:t>
            </w:r>
          </w:p>
        </w:tc>
        <w:tc>
          <w:tcPr>
            <w:tcW w:type="dxa" w:w="156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Owner</w:t>
            </w:r>
          </w:p>
        </w:tc>
        <w:tc>
          <w:tcPr>
            <w:tcW w:type="dxa" w:w="5756"/>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What it must do</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0</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Login &amp; User Access</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 (auth core) / Dev D (Admin UI)</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Admin-created accounts, linked to an Employee, one role each; role-gated modules after sign-in.</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A1 / B1 / B2</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 Master &amp; Navigation</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Kanban + List + Form views; department, manager, schedule, job position, status; smart-button links to Contracts, Attendance, Time Off.</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A2</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 Management</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Historical contracts per employee; list highlights the active one; payroll must use only the period-applicable contract; concurrent active contracts must be blocked.</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A3</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Working Schedule</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List + Form; weekly pattern via Day/Start/End/Break; total hours auto-calculated, never typed; assignable to Employee or Contract (contract-level overrides).</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A4 / B4</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 Off Types, Allocations &amp; Requests</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Types define unit, allocation requirement, approval workflow, payroll integration; Allocations track allocated/taken/remaining with validity; approved Requests deduct from Allocations automatically.</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B3</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Global or per-employee list/form; check-in/out widget; worked hours auto-computed; manual corrections restricted to authorized users with an audit trail.</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A5</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 Structure Setup</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Named containers of ordered Salary Rules (e.g. “Regular Salary”); selected on a Payrun to drive computation.</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A6</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 Rule Setup</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Name/Code/Category/Sequence; fixed, percentage or formula computation methods; rules run in strict sequence so later rules can read earlier outputs.</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B5 / B6</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Payrun Wizard &amp; Processing</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Two-step wizard (scope+period, then employee selection); processing screen with Compute / Validate / Mark Paid / Send Payslips and pre-validation warnings.</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B7 / B8</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 Computation, PDF &amp; Delivery</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Rule-by-rule breakdown (Basic → Allowances → Deductions → Gross → Net); Print-to-PDF; bulk email from the parent Payrun with per-recipient failure reporting.</w:t>
            </w:r>
          </w:p>
        </w:tc>
      </w:tr>
      <w:tr>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A7 / B9</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Reporting &amp; Payroll Dashboard</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D</w:t>
            </w:r>
          </w:p>
        </w:tc>
        <w:tc>
          <w:tcPr>
            <w:tcW w:type="dxa" w:w="575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Live KPIs, charts and proactive alerts aggregated across Employee, Contract, Attendance, Time Off and Payroll data; filterable by Period, Department, Employee Type.</w:t>
            </w:r>
          </w:p>
        </w:tc>
      </w:tr>
    </w:tbl>
    <w:p>
      <w:r>
        <w:br w:type="page"/>
      </w:r>
    </w:p>
    <w:p>
      <w:pPr>
        <w:pStyle w:val="Heading1"/>
        <w:spacing w:after="160" w:before="400"/>
      </w:pPr>
      <w:r>
        <w:t xml:space="preserve">4. UI Design System — Reference Theme</w:t>
      </w:r>
    </w:p>
    <w:p>
      <w:pPr>
        <w:spacing w:after="140"/>
      </w:pPr>
      <w:r>
        <w:rPr>
          <w:b w:val="false"/>
          <w:bCs w:val="false"/>
          <w:i w:val="false"/>
          <w:iCs w:val="false"/>
          <w:color w:val="1A1A2E"/>
          <w:sz w:val="21"/>
          <w:szCs w:val="21"/>
        </w:rPr>
        <w:t xml:space="preserve">The supplied reference (“Finnova”, below) is a finance dashboard: dark utility top bar, a light workspace, an indigo/violet primary accent, fully-rounded pill buttons, soft-shadowed white cards, a gradient “emphasis” panel for a selected record, and colour-coded status pills in tables. The tokens and component specs in this section translate that look into concrete values every developer should reuse — no developer should invent their own button radius, spacing or badge colour.</w:t>
      </w:r>
    </w:p>
    <w:p>
      <w:pPr>
        <w:jc w:val="center"/>
      </w:pPr>
      <w:r>
        <w:drawing>
          <wp:inline distT="0" distB="0" distL="0" distR="0">
            <wp:extent cx="4095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143250"/>
                    </a:xfrm>
                    <a:prstGeom prst="rect">
                      <a:avLst/>
                    </a:prstGeom>
                  </pic:spPr>
                </pic:pic>
              </a:graphicData>
            </a:graphic>
          </wp:inline>
        </w:drawing>
      </w:r>
    </w:p>
    <w:p>
      <w:pPr>
        <w:spacing w:after="200"/>
        <w:jc w:val="center"/>
      </w:pPr>
      <w:r>
        <w:rPr>
          <w:i/>
          <w:iCs/>
          <w:color w:val="6B7280"/>
          <w:sz w:val="18"/>
          <w:szCs w:val="18"/>
        </w:rPr>
        <w:t xml:space="preserve">Fig. 1 — Reference theme (“Finnova”) supplied for this project. Source of the colour, radius and card language defined below.</w:t>
      </w:r>
    </w:p>
    <w:p>
      <w:pPr>
        <w:pStyle w:val="Heading2"/>
        <w:spacing w:after="120" w:before="260"/>
      </w:pPr>
      <w:r>
        <w:t xml:space="preserve">4.1 Colour Tokens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25"/>
        <w:gridCol w:w="1360"/>
        <w:gridCol w:w="4709"/>
        <w:gridCol w:w="1569"/>
      </w:tblGrid>
      <w:tr>
        <w:trPr>
          <w:tblHeader/>
        </w:trPr>
        <w:tc>
          <w:tcPr>
            <w:tcW w:type="dxa" w:w="282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Token</w:t>
            </w:r>
          </w:p>
        </w:tc>
        <w:tc>
          <w:tcPr>
            <w:tcW w:type="dxa" w:w="1360"/>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Hex</w:t>
            </w:r>
          </w:p>
        </w:tc>
        <w:tc>
          <w:tcPr>
            <w:tcW w:type="dxa" w:w="470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Primary Usage</w:t>
            </w:r>
          </w:p>
        </w:tc>
        <w:tc>
          <w:tcPr>
            <w:tcW w:type="dxa" w:w="156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Swatch</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Primary / Indigo-600</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#5B4FE9</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Primary buttons, active nav/tab state, links, focus ring</w:t>
            </w:r>
          </w:p>
        </w:tc>
        <w:tc>
          <w:tcPr>
            <w:tcW w:type="dxa" w:w="1569"/>
            <w:tcBorders>
              <w:top w:val="single" w:color="D8D8E2" w:sz="2"/>
              <w:left w:val="single" w:color="D8D8E2" w:sz="2"/>
              <w:bottom w:val="single" w:color="D8D8E2" w:sz="2"/>
              <w:right w:val="single" w:color="D8D8E2" w:sz="2"/>
            </w:tcBorders>
            <w:shd w:fill="5B4FE9"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Primary Dark / Indigo-800</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#3F35A8</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 / pressed state, heading accents</w:t>
            </w:r>
          </w:p>
        </w:tc>
        <w:tc>
          <w:tcPr>
            <w:tcW w:type="dxa" w:w="1569"/>
            <w:tcBorders>
              <w:top w:val="single" w:color="D8D8E2" w:sz="2"/>
              <w:left w:val="single" w:color="D8D8E2" w:sz="2"/>
              <w:bottom w:val="single" w:color="D8D8E2" w:sz="2"/>
              <w:right w:val="single" w:color="D8D8E2" w:sz="2"/>
            </w:tcBorders>
            <w:shd w:fill="3F35A8"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Primary Light / Indigo-50</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#EEF0FF</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Selected table row, tinted panels</w:t>
            </w:r>
          </w:p>
        </w:tc>
        <w:tc>
          <w:tcPr>
            <w:tcW w:type="dxa" w:w="1569"/>
            <w:tcBorders>
              <w:top w:val="single" w:color="D8D8E2" w:sz="2"/>
              <w:left w:val="single" w:color="D8D8E2" w:sz="2"/>
              <w:bottom w:val="single" w:color="D8D8E2" w:sz="2"/>
              <w:right w:val="single" w:color="D8D8E2" w:sz="2"/>
            </w:tcBorders>
            <w:shd w:fill="EEF0FF"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Ink / Text Primary</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#1A1A2E</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Headings, primary body text</w:t>
            </w:r>
          </w:p>
        </w:tc>
        <w:tc>
          <w:tcPr>
            <w:tcW w:type="dxa" w:w="1569"/>
            <w:tcBorders>
              <w:top w:val="single" w:color="D8D8E2" w:sz="2"/>
              <w:left w:val="single" w:color="D8D8E2" w:sz="2"/>
              <w:bottom w:val="single" w:color="D8D8E2" w:sz="2"/>
              <w:right w:val="single" w:color="D8D8E2" w:sz="2"/>
            </w:tcBorders>
            <w:shd w:fill="1A1A2E"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Slate / Text Secondary</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#6B7280</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Secondary text, table headers, captions</w:t>
            </w:r>
          </w:p>
        </w:tc>
        <w:tc>
          <w:tcPr>
            <w:tcW w:type="dxa" w:w="1569"/>
            <w:tcBorders>
              <w:top w:val="single" w:color="D8D8E2" w:sz="2"/>
              <w:left w:val="single" w:color="D8D8E2" w:sz="2"/>
              <w:bottom w:val="single" w:color="D8D8E2" w:sz="2"/>
              <w:right w:val="single" w:color="D8D8E2" w:sz="2"/>
            </w:tcBorders>
            <w:shd w:fill="6B7280"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Mist / Text Muted</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#9CA3AF</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Placeholders, disabled text</w:t>
            </w:r>
          </w:p>
        </w:tc>
        <w:tc>
          <w:tcPr>
            <w:tcW w:type="dxa" w:w="1569"/>
            <w:tcBorders>
              <w:top w:val="single" w:color="D8D8E2" w:sz="2"/>
              <w:left w:val="single" w:color="D8D8E2" w:sz="2"/>
              <w:bottom w:val="single" w:color="D8D8E2" w:sz="2"/>
              <w:right w:val="single" w:color="D8D8E2" w:sz="2"/>
            </w:tcBorders>
            <w:shd w:fill="9CA3AF"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Surface / Card White</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#FFFFFF</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Card and panel backgrounds</w:t>
            </w:r>
          </w:p>
        </w:tc>
        <w:tc>
          <w:tcPr>
            <w:tcW w:type="dxa" w:w="1569"/>
            <w:tcBorders>
              <w:top w:val="single" w:color="D8D8E2" w:sz="2"/>
              <w:left w:val="single" w:color="D8D8E2" w:sz="2"/>
              <w:bottom w:val="single" w:color="D8D8E2" w:sz="2"/>
              <w:right w:val="single" w:color="D8D8E2" w:sz="2"/>
            </w:tcBorders>
            <w:shd w:fill="FFFFFF"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Canvas / Page Background</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#F6F6FB</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App page background</w:t>
            </w:r>
          </w:p>
        </w:tc>
        <w:tc>
          <w:tcPr>
            <w:tcW w:type="dxa" w:w="1569"/>
            <w:tcBorders>
              <w:top w:val="single" w:color="D8D8E2" w:sz="2"/>
              <w:left w:val="single" w:color="D8D8E2" w:sz="2"/>
              <w:bottom w:val="single" w:color="D8D8E2" w:sz="2"/>
              <w:right w:val="single" w:color="D8D8E2" w:sz="2"/>
            </w:tcBorders>
            <w:shd w:fill="F6F6FB"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Border / Divider</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#E5E7EB</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Card borders, input borders, table rules</w:t>
            </w:r>
          </w:p>
        </w:tc>
        <w:tc>
          <w:tcPr>
            <w:tcW w:type="dxa" w:w="1569"/>
            <w:tcBorders>
              <w:top w:val="single" w:color="D8D8E2" w:sz="2"/>
              <w:left w:val="single" w:color="D8D8E2" w:sz="2"/>
              <w:bottom w:val="single" w:color="D8D8E2" w:sz="2"/>
              <w:right w:val="single" w:color="D8D8E2" w:sz="2"/>
            </w:tcBorders>
            <w:shd w:fill="E5E7EB"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Ink Navy / Dark Surface</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#14141F</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Top bar, sidebar, “finalize” action buttons</w:t>
            </w:r>
          </w:p>
        </w:tc>
        <w:tc>
          <w:tcPr>
            <w:tcW w:type="dxa" w:w="1569"/>
            <w:tcBorders>
              <w:top w:val="single" w:color="D8D8E2" w:sz="2"/>
              <w:left w:val="single" w:color="D8D8E2" w:sz="2"/>
              <w:bottom w:val="single" w:color="D8D8E2" w:sz="2"/>
              <w:right w:val="single" w:color="D8D8E2" w:sz="2"/>
            </w:tcBorders>
            <w:shd w:fill="14141F"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Success / Green</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#22C55E</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Active, Approved, Paid, Present</w:t>
            </w:r>
          </w:p>
        </w:tc>
        <w:tc>
          <w:tcPr>
            <w:tcW w:type="dxa" w:w="1569"/>
            <w:tcBorders>
              <w:top w:val="single" w:color="D8D8E2" w:sz="2"/>
              <w:left w:val="single" w:color="D8D8E2" w:sz="2"/>
              <w:bottom w:val="single" w:color="D8D8E2" w:sz="2"/>
              <w:right w:val="single" w:color="D8D8E2" w:sz="2"/>
            </w:tcBorders>
            <w:shd w:fill="22C55E"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Success Tint</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#DCFCE7</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Success badge background</w:t>
            </w:r>
          </w:p>
        </w:tc>
        <w:tc>
          <w:tcPr>
            <w:tcW w:type="dxa" w:w="1569"/>
            <w:tcBorders>
              <w:top w:val="single" w:color="D8D8E2" w:sz="2"/>
              <w:left w:val="single" w:color="D8D8E2" w:sz="2"/>
              <w:bottom w:val="single" w:color="D8D8E2" w:sz="2"/>
              <w:right w:val="single" w:color="D8D8E2" w:sz="2"/>
            </w:tcBorders>
            <w:shd w:fill="DCFCE7"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Warning / Amber</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#F59E0B</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Pending, To Approve, dashboard warnings</w:t>
            </w:r>
          </w:p>
        </w:tc>
        <w:tc>
          <w:tcPr>
            <w:tcW w:type="dxa" w:w="1569"/>
            <w:tcBorders>
              <w:top w:val="single" w:color="D8D8E2" w:sz="2"/>
              <w:left w:val="single" w:color="D8D8E2" w:sz="2"/>
              <w:bottom w:val="single" w:color="D8D8E2" w:sz="2"/>
              <w:right w:val="single" w:color="D8D8E2" w:sz="2"/>
            </w:tcBorders>
            <w:shd w:fill="F59E0B"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Warning Tint</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#FEF3C7</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Warning badge background</w:t>
            </w:r>
          </w:p>
        </w:tc>
        <w:tc>
          <w:tcPr>
            <w:tcW w:type="dxa" w:w="1569"/>
            <w:tcBorders>
              <w:top w:val="single" w:color="D8D8E2" w:sz="2"/>
              <w:left w:val="single" w:color="D8D8E2" w:sz="2"/>
              <w:bottom w:val="single" w:color="D8D8E2" w:sz="2"/>
              <w:right w:val="single" w:color="D8D8E2" w:sz="2"/>
            </w:tcBorders>
            <w:shd w:fill="FEF3C7"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Danger / Red</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#EF4444</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Absent, Rejected, Overdue, errors</w:t>
            </w:r>
          </w:p>
        </w:tc>
        <w:tc>
          <w:tcPr>
            <w:tcW w:type="dxa" w:w="1569"/>
            <w:tcBorders>
              <w:top w:val="single" w:color="D8D8E2" w:sz="2"/>
              <w:left w:val="single" w:color="D8D8E2" w:sz="2"/>
              <w:bottom w:val="single" w:color="D8D8E2" w:sz="2"/>
              <w:right w:val="single" w:color="D8D8E2" w:sz="2"/>
            </w:tcBorders>
            <w:shd w:fill="EF4444"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Danger Tint</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#FEE2E2</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Danger badge background</w:t>
            </w:r>
          </w:p>
        </w:tc>
        <w:tc>
          <w:tcPr>
            <w:tcW w:type="dxa" w:w="1569"/>
            <w:tcBorders>
              <w:top w:val="single" w:color="D8D8E2" w:sz="2"/>
              <w:left w:val="single" w:color="D8D8E2" w:sz="2"/>
              <w:bottom w:val="single" w:color="D8D8E2" w:sz="2"/>
              <w:right w:val="single" w:color="D8D8E2" w:sz="2"/>
            </w:tcBorders>
            <w:shd w:fill="FEE2E2"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Info / Blue</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#3B82F6</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Validated / informational states</w:t>
            </w:r>
          </w:p>
        </w:tc>
        <w:tc>
          <w:tcPr>
            <w:tcW w:type="dxa" w:w="1569"/>
            <w:tcBorders>
              <w:top w:val="single" w:color="D8D8E2" w:sz="2"/>
              <w:left w:val="single" w:color="D8D8E2" w:sz="2"/>
              <w:bottom w:val="single" w:color="D8D8E2" w:sz="2"/>
              <w:right w:val="single" w:color="D8D8E2" w:sz="2"/>
            </w:tcBorders>
            <w:shd w:fill="3B82F6" w:color="auto" w:val="clear"/>
          </w:tcPr>
          <w:p>
            <w:r>
              <w:rPr>
                <w:b w:val="false"/>
                <w:bCs w:val="false"/>
                <w:color w:val="1A1A2E"/>
                <w:sz w:val="18"/>
                <w:szCs w:val="18"/>
              </w:rPr>
              <w:t xml:space="preserve"> </w:t>
            </w:r>
          </w:p>
        </w:tc>
      </w:tr>
      <w:tr>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Info Tint</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#DBEAFE</w:t>
            </w:r>
          </w:p>
        </w:tc>
        <w:tc>
          <w:tcPr>
            <w:tcW w:type="dxa" w:w="470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Info badge background</w:t>
            </w:r>
          </w:p>
        </w:tc>
        <w:tc>
          <w:tcPr>
            <w:tcW w:type="dxa" w:w="1569"/>
            <w:tcBorders>
              <w:top w:val="single" w:color="D8D8E2" w:sz="2"/>
              <w:left w:val="single" w:color="D8D8E2" w:sz="2"/>
              <w:bottom w:val="single" w:color="D8D8E2" w:sz="2"/>
              <w:right w:val="single" w:color="D8D8E2" w:sz="2"/>
            </w:tcBorders>
            <w:shd w:fill="DBEAFE" w:color="auto" w:val="clear"/>
          </w:tcPr>
          <w:p>
            <w:r>
              <w:rPr>
                <w:b w:val="false"/>
                <w:bCs w:val="false"/>
                <w:color w:val="1A1A2E"/>
                <w:sz w:val="18"/>
                <w:szCs w:val="18"/>
              </w:rPr>
              <w:t xml:space="preserve"> </w:t>
            </w:r>
          </w:p>
        </w:tc>
      </w:tr>
    </w:tbl>
    <w:p>
      <w:pPr>
        <w:pStyle w:val="Heading2"/>
        <w:spacing w:after="120" w:before="260"/>
      </w:pPr>
      <w:r>
        <w:t xml:space="preserve">4.2 Typography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2"/>
        <w:gridCol w:w="3139"/>
        <w:gridCol w:w="5023"/>
      </w:tblGrid>
      <w:tr>
        <w:trPr>
          <w:tblHeader/>
        </w:trPr>
        <w:tc>
          <w:tcPr>
            <w:tcW w:type="dxa" w:w="2302"/>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Style</w:t>
            </w:r>
          </w:p>
        </w:tc>
        <w:tc>
          <w:tcPr>
            <w:tcW w:type="dxa" w:w="313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Font / Weight / Size</w:t>
            </w:r>
          </w:p>
        </w:tc>
        <w:tc>
          <w:tcPr>
            <w:tcW w:type="dxa" w:w="502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Usage</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Display / Cover Title</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Calibri, Bold, 28pt</w:t>
            </w:r>
          </w:p>
        </w:tc>
        <w:tc>
          <w:tcPr>
            <w:tcW w:type="dxa" w:w="502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Document cover, hero titles only</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H1</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Calibri, Bold, 20pt</w:t>
            </w:r>
          </w:p>
        </w:tc>
        <w:tc>
          <w:tcPr>
            <w:tcW w:type="dxa" w:w="502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Section headers, module titles</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H2</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Calibri, Semibold, 15pt</w:t>
            </w:r>
          </w:p>
        </w:tc>
        <w:tc>
          <w:tcPr>
            <w:tcW w:type="dxa" w:w="502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Card / panel titles, form section headers</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H3 / Sub-label</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Calibri, Semibold, 12.5pt</w:t>
            </w:r>
          </w:p>
        </w:tc>
        <w:tc>
          <w:tcPr>
            <w:tcW w:type="dxa" w:w="502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Sub-headers, table group headers</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Body</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Calibri, Regular, 11pt (14px)</w:t>
            </w:r>
          </w:p>
        </w:tc>
        <w:tc>
          <w:tcPr>
            <w:tcW w:type="dxa" w:w="502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Default UI text, table cell content</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Caption / Field Label</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Calibri, Medium, 9–10pt, Slate</w:t>
            </w:r>
          </w:p>
        </w:tc>
        <w:tc>
          <w:tcPr>
            <w:tcW w:type="dxa" w:w="502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Field labels, KPI captions, timestamps</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Numeric / KPI Value</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Calibri, Bold, 22–24pt</w:t>
            </w:r>
          </w:p>
        </w:tc>
        <w:tc>
          <w:tcPr>
            <w:tcW w:type="dxa" w:w="502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Dashboard KPI big numbers</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Monospace</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Consolas, 9–10pt</w:t>
            </w:r>
          </w:p>
        </w:tc>
        <w:tc>
          <w:tcPr>
            <w:tcW w:type="dxa" w:w="502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 no., Rule code, folder paths, URLs</w:t>
            </w:r>
          </w:p>
        </w:tc>
      </w:tr>
    </w:tbl>
    <w:p>
      <w:pPr>
        <w:pStyle w:val="Heading2"/>
        <w:spacing w:after="120" w:before="260"/>
      </w:pPr>
      <w:r>
        <w:t xml:space="preserve">4.3 Spacing, Radius &amp; Elevation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3139"/>
        <w:gridCol w:w="4814"/>
      </w:tblGrid>
      <w:tr>
        <w:trPr>
          <w:tblHeader/>
        </w:trPr>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Token</w:t>
            </w:r>
          </w:p>
        </w:tc>
        <w:tc>
          <w:tcPr>
            <w:tcW w:type="dxa" w:w="313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Value</w:t>
            </w:r>
          </w:p>
        </w:tc>
        <w:tc>
          <w:tcPr>
            <w:tcW w:type="dxa" w:w="4814"/>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Usage</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space-1 / 2 / 3 / 4</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4 / 8 / 12 / 16 px</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Icon gaps, tight paddings, chip padding</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space-5 / 6 / 7</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20 / 24 / 32 px</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Card padding, section gaps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radius-sm</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8 px</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Checkboxes, tiny chips, colour swatches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radius-md</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10–12 px</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Inputs, outline/secondary buttons, smart-stat buttons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radius-lg</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16 px</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Standard cards, Kanban cards, list-item cards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radius-xl</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20 px</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KPI cards, emphasis/gradient panels, modals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radius-full</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9999 px (pill)</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Primary/finalize buttons, badges, tabs, avatars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shadow-sm</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0 1px 3px rgba(16,24,40,.06)</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Default resting elevation for all cards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shadow-md</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0 4px 10px rgba(16,24,40,.10)</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Hovered card, open dropdown</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shadow-lg</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0 10px 30px rgba(16,24,40,.18)</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Modals, wizards, floating attendance widget</w:t>
            </w:r>
          </w:p>
        </w:tc>
      </w:tr>
    </w:tbl>
    <w:p>
      <w:pPr>
        <w:pStyle w:val="Heading2"/>
        <w:spacing w:after="120" w:before="260"/>
      </w:pPr>
      <w:r>
        <w:t xml:space="preserve">4.4 Buttons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69"/>
        <w:gridCol w:w="1569"/>
        <w:gridCol w:w="1360"/>
        <w:gridCol w:w="2511"/>
        <w:gridCol w:w="2093"/>
        <w:gridCol w:w="1360"/>
      </w:tblGrid>
      <w:tr>
        <w:trPr>
          <w:tblHeader/>
        </w:trPr>
        <w:tc>
          <w:tcPr>
            <w:tcW w:type="dxa" w:w="156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Variant</w:t>
            </w:r>
          </w:p>
        </w:tc>
        <w:tc>
          <w:tcPr>
            <w:tcW w:type="dxa" w:w="156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Shape / Radius</w:t>
            </w:r>
          </w:p>
        </w:tc>
        <w:tc>
          <w:tcPr>
            <w:tcW w:type="dxa" w:w="1360"/>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Size</w:t>
            </w:r>
          </w:p>
        </w:tc>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Fill / Text</w:t>
            </w:r>
          </w:p>
        </w:tc>
        <w:tc>
          <w:tcPr>
            <w:tcW w:type="dxa" w:w="209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Used For</w:t>
            </w:r>
          </w:p>
        </w:tc>
        <w:tc>
          <w:tcPr>
            <w:tcW w:type="dxa" w:w="1360"/>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States</w:t>
            </w:r>
          </w:p>
        </w:tc>
      </w:tr>
      <w:tr>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Primary (filled)</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pill (radius-full)</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40px h · 20px x-pad</w:t>
            </w:r>
          </w:p>
        </w:tc>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Fill Indigo-600, text white, 14px semibold</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Sign In, Save, Continue, Create Payrun, Send Payslips</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 → Indigo-800; disabled → 40% opacity</w:t>
            </w:r>
          </w:p>
        </w:tc>
      </w:tr>
      <w:tr>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Primary Dark / Finalize</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Full pill</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40px h · 20px x-pad</w:t>
            </w:r>
          </w:p>
        </w:tc>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Fill Ink Navy, text white</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Mark Paid, Validate Payrun (irreversible / high-stakes actions)</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 → lighten 10%</w:t>
            </w:r>
          </w:p>
        </w:tc>
      </w:tr>
      <w:tr>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Secondary / Outline</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radius-md (12px) rectangle</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38px h · 16px x-pad</w:t>
            </w:r>
          </w:p>
        </w:tc>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Transparent/white, 1px Border grey, text Ink</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 Discard, Cancel, Refresh, Add Day</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 → bg Canvas</w:t>
            </w:r>
          </w:p>
        </w:tc>
      </w:tr>
      <w:tr>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Success (Approve)</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Small pill</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30px h · 12px x-pad</w:t>
            </w:r>
          </w:p>
        </w:tc>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Fill Success green, text white</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Approve (Time Off / Allocation)</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 → darker green</w:t>
            </w:r>
          </w:p>
        </w:tc>
      </w:tr>
      <w:tr>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Danger (Refuse)</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Small pill, outline</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30px h · 12px x-pad</w:t>
            </w:r>
          </w:p>
        </w:tc>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Border + text Danger red, transparent fill</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Refuse / Reject</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 → fills Danger Tint</w:t>
            </w:r>
          </w:p>
        </w:tc>
      </w:tr>
      <w:tr>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Icon Button</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Square/circle, radius-full or 10px</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36 × 36 px</w:t>
            </w:r>
          </w:p>
        </w:tc>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Fill gray-100, icon gray-700</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Print PDF, notification bell, settings, close (X)</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 → gray-200; red dot = unread</w:t>
            </w:r>
          </w:p>
        </w:tc>
      </w:tr>
      <w:tr>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 / Segmented Control</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Container radius-md, item radius-md</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34px h</w:t>
            </w:r>
          </w:p>
        </w:tc>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Active: white/Indigo chip + shadow-sm; inactive: transparent, gray text</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List/Kanban toggle, “My Team” toggle, dashboard day tabs</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Click swaps active segment</w:t>
            </w:r>
          </w:p>
        </w:tc>
      </w:tr>
      <w:tr>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Smart Stat Button</w:t>
            </w:r>
          </w:p>
        </w:tc>
        <w:tc>
          <w:tcPr>
            <w:tcW w:type="dxa" w:w="156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radius-md (10px), bordered rectangle</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~48px h, auto w</w:t>
            </w:r>
          </w:p>
        </w:tc>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White bg, border grey, bold number + small grey label stacked</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“Contracts 2”, “Attendance 96%” on Employee Form</w:t>
            </w:r>
          </w:p>
        </w:tc>
        <w:tc>
          <w:tcPr>
            <w:tcW w:type="dxa" w:w="136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Hover → bg gray-50; click navigates to filtered list</w:t>
            </w:r>
          </w:p>
        </w:tc>
      </w:tr>
    </w:tbl>
    <w:p>
      <w:pPr>
        <w:pStyle w:val="Heading2"/>
        <w:spacing w:after="120" w:before="260"/>
      </w:pPr>
      <w:r>
        <w:t xml:space="preserve">4.5 Status Badges / Pills</w:t>
      </w:r>
    </w:p>
    <w:p>
      <w:pPr>
        <w:spacing w:after="140"/>
      </w:pPr>
      <w:r>
        <w:rPr>
          <w:b w:val="false"/>
          <w:bCs w:val="false"/>
          <w:i w:val="false"/>
          <w:iCs w:val="false"/>
          <w:color w:val="1A1A2E"/>
          <w:sz w:val="21"/>
          <w:szCs w:val="21"/>
        </w:rPr>
        <w:t xml:space="preserve">All badges are radius-full pills, 12px medium text, ~4×10px padding, optionally prefixed with a 6px colour dot.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2"/>
        <w:gridCol w:w="4395"/>
        <w:gridCol w:w="1883"/>
        <w:gridCol w:w="1883"/>
      </w:tblGrid>
      <w:tr>
        <w:trPr>
          <w:tblHeader/>
        </w:trPr>
        <w:tc>
          <w:tcPr>
            <w:tcW w:type="dxa" w:w="2302"/>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Semantic Group</w:t>
            </w:r>
          </w:p>
        </w:tc>
        <w:tc>
          <w:tcPr>
            <w:tcW w:type="dxa" w:w="439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Example Values</w:t>
            </w:r>
          </w:p>
        </w:tc>
        <w:tc>
          <w:tcPr>
            <w:tcW w:type="dxa" w:w="188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Fill</w:t>
            </w:r>
          </w:p>
        </w:tc>
        <w:tc>
          <w:tcPr>
            <w:tcW w:type="dxa" w:w="188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Text</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Positive</w:t>
            </w:r>
          </w:p>
        </w:tc>
        <w:tc>
          <w:tcPr>
            <w:tcW w:type="dxa" w:w="439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Active, Approved, Paid, Present, Running (contract), Done</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Success Tint #DCFCE7</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#16A34A</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Neutral</w:t>
            </w:r>
          </w:p>
        </w:tc>
        <w:tc>
          <w:tcPr>
            <w:tcW w:type="dxa" w:w="439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Draft, Inactive</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Gray #F1F5F9</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#64748B</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Warning</w:t>
            </w:r>
          </w:p>
        </w:tc>
        <w:tc>
          <w:tcPr>
            <w:tcW w:type="dxa" w:w="439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Pending, To Approve, Warning, Unsent</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Warning Tint #FEF3C7</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#D97706</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Danger</w:t>
            </w:r>
          </w:p>
        </w:tc>
        <w:tc>
          <w:tcPr>
            <w:tcW w:type="dxa" w:w="439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Absent, Refused, Expired, Overdue, Duplicate</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Danger Tint #FEE2E2</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#DC2626</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Info</w:t>
            </w:r>
          </w:p>
        </w:tc>
        <w:tc>
          <w:tcPr>
            <w:tcW w:type="dxa" w:w="439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Viewed, Validated</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Info Tint #DBEAFE</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#2563EB</w:t>
            </w:r>
          </w:p>
        </w:tc>
      </w:tr>
    </w:tbl>
    <w:p>
      <w:pPr>
        <w:pStyle w:val="Heading2"/>
        <w:spacing w:after="120" w:before="260"/>
      </w:pPr>
      <w:r>
        <w:t xml:space="preserve">4.6 Cards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83"/>
        <w:gridCol w:w="941"/>
        <w:gridCol w:w="1046"/>
        <w:gridCol w:w="2093"/>
        <w:gridCol w:w="2407"/>
        <w:gridCol w:w="2093"/>
      </w:tblGrid>
      <w:tr>
        <w:trPr>
          <w:tblHeader/>
        </w:trPr>
        <w:tc>
          <w:tcPr>
            <w:tcW w:type="dxa" w:w="188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Card Type</w:t>
            </w:r>
          </w:p>
        </w:tc>
        <w:tc>
          <w:tcPr>
            <w:tcW w:type="dxa" w:w="94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Radius</w:t>
            </w:r>
          </w:p>
        </w:tc>
        <w:tc>
          <w:tcPr>
            <w:tcW w:type="dxa" w:w="1046"/>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Padding</w:t>
            </w:r>
          </w:p>
        </w:tc>
        <w:tc>
          <w:tcPr>
            <w:tcW w:type="dxa" w:w="209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Background</w:t>
            </w:r>
          </w:p>
        </w:tc>
        <w:tc>
          <w:tcPr>
            <w:tcW w:type="dxa" w:w="2407"/>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Notable Elements</w:t>
            </w:r>
          </w:p>
        </w:tc>
        <w:tc>
          <w:tcPr>
            <w:tcW w:type="dxa" w:w="209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Used In</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Standard Card</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16px</w:t>
            </w:r>
          </w:p>
        </w:tc>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20px</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White, shadow-sm, 1px border</w:t>
            </w:r>
          </w:p>
        </w:tc>
        <w:tc>
          <w:tcPr>
            <w:tcW w:type="dxa" w:w="240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Title + content block</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List views, forms, side panels</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KPI Card</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20px</w:t>
            </w:r>
          </w:p>
        </w:tc>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20–24px</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White, shadow-sm</w:t>
            </w:r>
          </w:p>
        </w:tc>
        <w:tc>
          <w:tcPr>
            <w:tcW w:type="dxa" w:w="240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Icon chip top-right, bold big number, coloured trend line</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Payroll Dashboard</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Emphasis / Gradient Card</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20px</w:t>
            </w:r>
          </w:p>
        </w:tc>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20–24px</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Gradient Indigo-600 → Indigo-800, white text</w:t>
            </w:r>
          </w:p>
        </w:tc>
        <w:tc>
          <w:tcPr>
            <w:tcW w:type="dxa" w:w="240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Highlighted selected record</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Selected Payslip / Allocation summary</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List Item / Kanban Card</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16px</w:t>
            </w:r>
          </w:p>
        </w:tc>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16px</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White, shadow-sm, hover elevates to shadow-md</w:t>
            </w:r>
          </w:p>
        </w:tc>
        <w:tc>
          <w:tcPr>
            <w:tcW w:type="dxa" w:w="240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Avatar + name + tag + status pill</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 Kanban</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Modal / Wizard Card</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20px</w:t>
            </w:r>
          </w:p>
        </w:tc>
        <w:tc>
          <w:tcPr>
            <w:tcW w:type="dxa" w:w="1046"/>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24px</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White, shadow-lg, dark 50% scrim behind it</w:t>
            </w:r>
          </w:p>
        </w:tc>
        <w:tc>
          <w:tcPr>
            <w:tcW w:type="dxa" w:w="240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Header + body + right-aligned footer buttons</w:t>
            </w:r>
          </w:p>
        </w:tc>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Payrun Wizard, New Schedule, New User</w:t>
            </w:r>
          </w:p>
        </w:tc>
      </w:tr>
    </w:tbl>
    <w:p>
      <w:pPr>
        <w:pStyle w:val="Heading2"/>
        <w:spacing w:after="120" w:before="260"/>
      </w:pPr>
      <w:r>
        <w:t xml:space="preserve">4.7 Forms &amp; Inputs</w:t>
      </w:r>
    </w:p>
    <w:p>
      <w:pPr>
        <w:pStyle w:val="ListParagraph"/>
        <w:numPr>
          <w:ilvl w:val="0"/>
          <w:numId w:val="1"/>
        </w:numPr>
        <w:spacing w:after="60"/>
      </w:pPr>
      <w:r>
        <w:rPr>
          <w:color w:val="1A1A2E"/>
          <w:sz w:val="21"/>
          <w:szCs w:val="21"/>
        </w:rPr>
        <w:t xml:space="preserve">Text / number / date input: 40px height, radius-md (10px), 1px Border grey, 10×12px padding, 14px text; focus → Indigo border + 3px Indigo ring at 15% opacity.</w:t>
      </w:r>
    </w:p>
    <w:p>
      <w:pPr>
        <w:pStyle w:val="ListParagraph"/>
        <w:numPr>
          <w:ilvl w:val="0"/>
          <w:numId w:val="1"/>
        </w:numPr>
        <w:spacing w:after="60"/>
      </w:pPr>
      <w:r>
        <w:rPr>
          <w:color w:val="1A1A2E"/>
          <w:sz w:val="21"/>
          <w:szCs w:val="21"/>
        </w:rPr>
        <w:t xml:space="preserve">Select / dropdown: same as text input, chevron icon on the right.</w:t>
      </w:r>
    </w:p>
    <w:p>
      <w:pPr>
        <w:pStyle w:val="ListParagraph"/>
        <w:numPr>
          <w:ilvl w:val="0"/>
          <w:numId w:val="1"/>
        </w:numPr>
        <w:spacing w:after="60"/>
      </w:pPr>
      <w:r>
        <w:rPr>
          <w:color w:val="1A1A2E"/>
          <w:sz w:val="21"/>
          <w:szCs w:val="21"/>
        </w:rPr>
        <w:t xml:space="preserve">Read-only / computed field (e.g. Working Schedule “Total Weekly Hours,” Attendance “Worked Hours”): grey #F3F4F6 background, non-editable styling, small “auto-calculated” caption underneath.</w:t>
      </w:r>
    </w:p>
    <w:p>
      <w:pPr>
        <w:pStyle w:val="ListParagraph"/>
        <w:numPr>
          <w:ilvl w:val="0"/>
          <w:numId w:val="1"/>
        </w:numPr>
        <w:spacing w:after="60"/>
      </w:pPr>
      <w:r>
        <w:rPr>
          <w:color w:val="1A1A2E"/>
          <w:sz w:val="21"/>
          <w:szCs w:val="21"/>
        </w:rPr>
        <w:t xml:space="preserve">Toggle / boolean (“Requires Allocation,” “Active”): pill switch, ON = Indigo-600 track, OFF = grey-300 track, white knob.</w:t>
      </w:r>
    </w:p>
    <w:p>
      <w:pPr>
        <w:pStyle w:val="ListParagraph"/>
        <w:numPr>
          <w:ilvl w:val="0"/>
          <w:numId w:val="1"/>
        </w:numPr>
        <w:spacing w:after="60"/>
      </w:pPr>
      <w:r>
        <w:rPr>
          <w:color w:val="1A1A2E"/>
          <w:sz w:val="21"/>
          <w:szCs w:val="21"/>
        </w:rPr>
        <w:t xml:space="preserve">Colour swatch picker (Time Off Type “Display Colour”): row of 20px circular swatches, selected swatch gets a 2px offset ring.</w:t>
      </w:r>
    </w:p>
    <w:p>
      <w:pPr>
        <w:spacing w:after="80"/>
      </w:pPr>
    </w:p>
    <w:p>
      <w:pPr>
        <w:pStyle w:val="Heading2"/>
        <w:spacing w:after="120" w:before="260"/>
      </w:pPr>
      <w:r>
        <w:t xml:space="preserve">4.8 Navigation</w:t>
      </w:r>
    </w:p>
    <w:p>
      <w:pPr>
        <w:pStyle w:val="ListParagraph"/>
        <w:numPr>
          <w:ilvl w:val="0"/>
          <w:numId w:val="1"/>
        </w:numPr>
        <w:spacing w:after="60"/>
      </w:pPr>
      <w:r>
        <w:rPr>
          <w:color w:val="1A1A2E"/>
          <w:sz w:val="21"/>
          <w:szCs w:val="21"/>
        </w:rPr>
        <w:t xml:space="preserve">Utility Top Bar: dark Ink Navy background, 60px tall — logo/app name on the left, search / notification bell (with red unread dot) / settings / avatar on the right.</w:t>
      </w:r>
    </w:p>
    <w:p>
      <w:pPr>
        <w:pStyle w:val="ListParagraph"/>
        <w:numPr>
          <w:ilvl w:val="0"/>
          <w:numId w:val="1"/>
        </w:numPr>
        <w:spacing w:after="60"/>
      </w:pPr>
      <w:r>
        <w:rPr>
          <w:color w:val="1A1A2E"/>
          <w:sz w:val="21"/>
          <w:szCs w:val="21"/>
        </w:rPr>
        <w:t xml:space="preserve">Module Sub-Nav: light bg, 48px tall, flat tab items (Employees, Contracts, Attendance, Time Off, Payroll). Items with sub-pages get a dropdown caret (▾); the dropdown itself is a white radius-md card with shadow-md.</w:t>
      </w:r>
    </w:p>
    <w:p>
      <w:pPr>
        <w:pStyle w:val="ListParagraph"/>
        <w:numPr>
          <w:ilvl w:val="0"/>
          <w:numId w:val="1"/>
        </w:numPr>
        <w:spacing w:after="60"/>
      </w:pPr>
      <w:r>
        <w:rPr>
          <w:color w:val="1A1A2E"/>
          <w:sz w:val="21"/>
          <w:szCs w:val="21"/>
        </w:rPr>
        <w:t xml:space="preserve">Active tab: Indigo text + 2px Indigo underline.</w:t>
      </w:r>
    </w:p>
    <w:p>
      <w:pPr>
        <w:pStyle w:val="ListParagraph"/>
        <w:numPr>
          <w:ilvl w:val="0"/>
          <w:numId w:val="1"/>
        </w:numPr>
        <w:spacing w:after="60"/>
      </w:pPr>
      <w:r>
        <w:rPr>
          <w:color w:val="1A1A2E"/>
          <w:sz w:val="21"/>
          <w:szCs w:val="21"/>
        </w:rPr>
        <w:t xml:space="preserve">Breadcrumbs / smart buttons on Form views sit top-right, per the Smart Stat Button spec above.</w:t>
      </w:r>
    </w:p>
    <w:p>
      <w:pPr>
        <w:spacing w:after="80"/>
      </w:pPr>
    </w:p>
    <w:p>
      <w:pPr>
        <w:pStyle w:val="Heading2"/>
        <w:spacing w:after="120" w:before="260"/>
      </w:pPr>
      <w:r>
        <w:t xml:space="preserve">4.9 Charts (Payroll Dashboard)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83"/>
        <w:gridCol w:w="4919"/>
        <w:gridCol w:w="3663"/>
      </w:tblGrid>
      <w:tr>
        <w:trPr>
          <w:tblHeader/>
        </w:trPr>
        <w:tc>
          <w:tcPr>
            <w:tcW w:type="dxa" w:w="188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Chart</w:t>
            </w:r>
          </w:p>
        </w:tc>
        <w:tc>
          <w:tcPr>
            <w:tcW w:type="dxa" w:w="491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Style</w:t>
            </w:r>
          </w:p>
        </w:tc>
        <w:tc>
          <w:tcPr>
            <w:tcW w:type="dxa" w:w="366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Used For</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Bar</w:t>
            </w:r>
          </w:p>
        </w:tc>
        <w:tc>
          <w:tcPr>
            <w:tcW w:type="dxa" w:w="491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6px rounded-top bars, single Indigo fill, value label above each bar</w:t>
            </w:r>
          </w:p>
        </w:tc>
        <w:tc>
          <w:tcPr>
            <w:tcW w:type="dxa" w:w="36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 Cost by Department</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Line</w:t>
            </w:r>
          </w:p>
        </w:tc>
        <w:tc>
          <w:tcPr>
            <w:tcW w:type="dxa" w:w="491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2px Indigo stroke, smooth curve, 10% opacity area fill beneath</w:t>
            </w:r>
          </w:p>
        </w:tc>
        <w:tc>
          <w:tcPr>
            <w:tcW w:type="dxa" w:w="36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Monthly Net Salary Trend</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Stacked status bar</w:t>
            </w:r>
          </w:p>
        </w:tc>
        <w:tc>
          <w:tcPr>
            <w:tcW w:type="dxa" w:w="491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One 10px rounded-full bar split into coloured segments + swatch legend</w:t>
            </w:r>
          </w:p>
        </w:tc>
        <w:tc>
          <w:tcPr>
            <w:tcW w:type="dxa" w:w="36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 Status split (Paid/Done/Pending/Warning)</w:t>
            </w:r>
          </w:p>
        </w:tc>
      </w:tr>
      <w:tr>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Mini stat rings</w:t>
            </w:r>
          </w:p>
        </w:tc>
        <w:tc>
          <w:tcPr>
            <w:tcW w:type="dxa" w:w="491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Small ring/pill per metric</w:t>
            </w:r>
          </w:p>
        </w:tc>
        <w:tc>
          <w:tcPr>
            <w:tcW w:type="dxa" w:w="36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 Overview (Present/Late/Absent/Overtime)</w:t>
            </w:r>
          </w:p>
        </w:tc>
      </w:tr>
    </w:tbl>
    <w:p>
      <w:pPr>
        <w:pStyle w:val="Heading2"/>
        <w:spacing w:after="120" w:before="260"/>
      </w:pPr>
      <w:r>
        <w:t xml:space="preserve">4.10 Attendance Widget (Floating Popup)</w:t>
      </w:r>
    </w:p>
    <w:p>
      <w:pPr>
        <w:pStyle w:val="ListParagraph"/>
        <w:numPr>
          <w:ilvl w:val="0"/>
          <w:numId w:val="1"/>
        </w:numPr>
        <w:spacing w:after="60"/>
      </w:pPr>
      <w:r>
        <w:rPr>
          <w:color w:val="1A1A2E"/>
          <w:sz w:val="21"/>
          <w:szCs w:val="21"/>
        </w:rPr>
        <w:t xml:space="preserve">Floating card, radius-xl (20px), shadow-lg, opened from the red attendance icon in the top bar.</w:t>
      </w:r>
    </w:p>
    <w:p>
      <w:pPr>
        <w:pStyle w:val="ListParagraph"/>
        <w:numPr>
          <w:ilvl w:val="0"/>
          <w:numId w:val="1"/>
        </w:numPr>
        <w:spacing w:after="60"/>
      </w:pPr>
      <w:r>
        <w:rPr>
          <w:color w:val="1A1A2E"/>
          <w:sz w:val="21"/>
          <w:szCs w:val="21"/>
        </w:rPr>
        <w:t xml:space="preserve">Header: “Welcome back” + user name, small status dot (green = checked in, grey = checked out).</w:t>
      </w:r>
    </w:p>
    <w:p>
      <w:pPr>
        <w:pStyle w:val="ListParagraph"/>
        <w:numPr>
          <w:ilvl w:val="0"/>
          <w:numId w:val="1"/>
        </w:numPr>
        <w:spacing w:after="60"/>
      </w:pPr>
      <w:r>
        <w:rPr>
          <w:color w:val="1A1A2E"/>
          <w:sz w:val="21"/>
          <w:szCs w:val="21"/>
        </w:rPr>
        <w:t xml:space="preserve">Large elapsed-time display; below it, today's running total.</w:t>
      </w:r>
    </w:p>
    <w:p>
      <w:pPr>
        <w:pStyle w:val="ListParagraph"/>
        <w:numPr>
          <w:ilvl w:val="0"/>
          <w:numId w:val="1"/>
        </w:numPr>
        <w:spacing w:after="60"/>
      </w:pPr>
      <w:r>
        <w:rPr>
          <w:color w:val="1A1A2E"/>
          <w:sz w:val="21"/>
          <w:szCs w:val="21"/>
        </w:rPr>
        <w:t xml:space="preserve">Full-width primary pill button that reads “Check In” (Indigo fill) when no active session, and “Check Out” (Ink Navy fill) when a session is active — the colour swap itself communicates state.</w:t>
      </w:r>
    </w:p>
    <w:p>
      <w:pPr>
        <w:pStyle w:val="ListParagraph"/>
        <w:numPr>
          <w:ilvl w:val="0"/>
          <w:numId w:val="1"/>
        </w:numPr>
        <w:spacing w:after="60"/>
      </w:pPr>
      <w:r>
        <w:rPr>
          <w:color w:val="1A1A2E"/>
          <w:sz w:val="21"/>
          <w:szCs w:val="21"/>
        </w:rPr>
        <w:t xml:space="preserve">On successful check-in, the status dot turns green immediately (optimistic UI).</w:t>
      </w:r>
    </w:p>
    <w:p>
      <w:pPr>
        <w:spacing w:after="80"/>
      </w:pPr>
    </w:p>
    <w:p>
      <w:r>
        <w:br w:type="page"/>
      </w:r>
    </w:p>
    <w:p>
      <w:pPr>
        <w:pStyle w:val="Heading1"/>
        <w:spacing w:after="160" w:before="400"/>
      </w:pPr>
      <w:r>
        <w:t xml:space="preserve">5. Screen → Component Mapping</w:t>
      </w:r>
    </w:p>
    <w:p>
      <w:pPr>
        <w:spacing w:after="140"/>
      </w:pPr>
      <w:r>
        <w:rPr>
          <w:b w:val="false"/>
          <w:bCs w:val="false"/>
          <w:i w:val="false"/>
          <w:iCs w:val="false"/>
          <w:color w:val="1A1A2E"/>
          <w:sz w:val="21"/>
          <w:szCs w:val="21"/>
        </w:rPr>
        <w:t xml:space="preserve">Each screen from the wireframes, mapped to the design-system components it is built from, and its owning squad.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6070"/>
        <w:gridCol w:w="1883"/>
      </w:tblGrid>
      <w:tr>
        <w:trPr>
          <w:tblHeader/>
        </w:trPr>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Screen</w:t>
            </w:r>
          </w:p>
        </w:tc>
        <w:tc>
          <w:tcPr>
            <w:tcW w:type="dxa" w:w="6070"/>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Primary Components Used</w:t>
            </w:r>
          </w:p>
        </w:tc>
        <w:tc>
          <w:tcPr>
            <w:tcW w:type="dxa" w:w="188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Owner</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Login</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Modal-style centered Card, Text/Password Input, Primary Button</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Admin – User Management</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Radio group (roles), Status Badge, Primary Button</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D</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Employees – Kanban</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List-Item/Kanban Card, Avatar, Status Badge, Tab toggle (Kanban/List)</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Employees – List</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Avatar+Name cell, Status Badge</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 – Form</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Tabs (Work / Private Info), Smart Stat Buttons, Inputs</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Contracts – List / Form</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with Status Badge (Running/Expired), Inputs, read-only fields</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Working Schedule – List / Form</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day-row input grid, computed “Total Hours” field, “+ Add Day” Secondary Button</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 – List / Form</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with Status Badge, read-only audit note card, Icon Button</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 – Widget</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Floating Card, large time display, full-width Primary/Toggle Button, status dot</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 Off – Requests</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inline Approve (Success) / Refuse (Danger) buttons, “My Team” Tab toggle</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 Off – Types / Allocations</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Toggle switch, Colour swatch picker, allocated/taken/remaining columns</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Payrun – Creation Wizard</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Modal Card, Selects, multi-select employee table with checkboxes, footer buttons</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Payrun – Processing</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(payslip summary), action row (Compute/Validate Secondary, Mark Paid/Send Payslips Primary), warning banner</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 – Computation</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(rule breakdown), Icon Button (Print PDF), Resend action</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 Structures / Rules</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Table, Form with sequence numbers, computation-method select, monospace Code field</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Payroll Dashboard</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KPI Cards, Bar Chart, Line Chart, Stacked status bar, mini info Cards, filter pills</w:t>
            </w:r>
          </w:p>
        </w:tc>
        <w:tc>
          <w:tcPr>
            <w:tcW w:type="dxa" w:w="188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D</w:t>
            </w:r>
          </w:p>
        </w:tc>
      </w:tr>
    </w:tbl>
    <w:p>
      <w:r>
        <w:br w:type="page"/>
      </w:r>
    </w:p>
    <w:p>
      <w:pPr>
        <w:pStyle w:val="Heading1"/>
        <w:spacing w:after="160" w:before="400"/>
      </w:pPr>
      <w:r>
        <w:t xml:space="preserve">6. Technical Architecture</w:t>
      </w:r>
    </w:p>
    <w:p>
      <w:pPr>
        <w:spacing w:after="140"/>
      </w:pPr>
      <w:r>
        <w:rPr>
          <w:b w:val="false"/>
          <w:bCs w:val="false"/>
          <w:i w:val="false"/>
          <w:iCs w:val="false"/>
          <w:color w:val="1A1A2E"/>
          <w:sz w:val="21"/>
          <w:szCs w:val="21"/>
        </w:rPr>
        <w:t xml:space="preserve">The brief allows any stack; the one below is the recommendation this README's folder structure and workflow are written against. Swap freely — the ownership and conflict-avoidance rules in Sections 7–9 are stack-agnostic.</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74"/>
        <w:gridCol w:w="3558"/>
        <w:gridCol w:w="5233"/>
      </w:tblGrid>
      <w:tr>
        <w:trPr>
          <w:tblHeader/>
        </w:trPr>
        <w:tc>
          <w:tcPr>
            <w:tcW w:type="dxa" w:w="1674"/>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Layer</w:t>
            </w:r>
          </w:p>
        </w:tc>
        <w:tc>
          <w:tcPr>
            <w:tcW w:type="dxa" w:w="3558"/>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Recommendation</w:t>
            </w:r>
          </w:p>
        </w:tc>
        <w:tc>
          <w:tcPr>
            <w:tcW w:type="dxa" w:w="523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Why</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React + TypeScript + Vite, TailwindCSS</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Matches the rounded/soft aesthetic cheaply via utility classes; fast HMR for 4 parallel devs</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Charts</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Recharts</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Covers bar / line / stacked-bar out of the box for the Dashboard</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Node.js + TypeScript (Express or NestJS)</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One language across the stack; easy to structure as isolated feature modules</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ORM / Migrations</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Prisma or Knex, with per-module migration folders</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See Section 7 for why per-module files beat one shared schema file</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Database</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PostgreSQL — one shared instance/schema for all 4 developers</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As required; ownership discipline (Sec. 7) replaces physical separation</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Auth</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JWT (access + refresh) with a role claim; RBAC middleware on every route</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Server-side enforcement, not just hidden buttons</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PDF Generation</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Puppeteer or PDFKit</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Print Payslip PDF action (B8)</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Email</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Nodemailer / any SMTP-compatible provider</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Bulk “Send Payslips” with per-recipient success/failure reporting</w:t>
            </w:r>
          </w:p>
        </w:tc>
      </w:tr>
      <w:tr>
        <w:tc>
          <w:tcPr>
            <w:tcW w:type="dxa" w:w="167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CI</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GitHub Actions</w:t>
            </w:r>
          </w:p>
        </w:tc>
        <w:tc>
          <w:tcPr>
            <w:tcW w:type="dxa" w:w="523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Lint + typecheck + test + migration dry-run on every PR</w:t>
            </w:r>
          </w:p>
        </w:tc>
      </w:tr>
    </w:tbl>
    <w:p>
      <w:r>
        <w:br w:type="page"/>
      </w:r>
    </w:p>
    <w:p>
      <w:pPr>
        <w:pStyle w:val="Heading1"/>
        <w:spacing w:after="160" w:before="400"/>
      </w:pPr>
      <w:r>
        <w:t xml:space="preserve">7. Database Design &amp; Table Ownership</w:t>
      </w:r>
    </w:p>
    <w:p>
      <w:pPr>
        <w:spacing w:after="140"/>
      </w:pPr>
      <w:r>
        <w:rPr>
          <w:b w:val="false"/>
          <w:bCs w:val="false"/>
          <w:i w:val="false"/>
          <w:iCs w:val="false"/>
          <w:color w:val="1A1A2E"/>
          <w:sz w:val="21"/>
          <w:szCs w:val="21"/>
        </w:rPr>
        <w:t xml:space="preserve">The database is shared, so the rule that prevents four developers from breaking each other's work is not “separate databases” — it is a strict, published table-ownership matrix. Nobody alters a table they don't own without a reviewed PR from that table's owner; cross-module data is always consumed by foreign key, never by direct write.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941"/>
        <w:gridCol w:w="4605"/>
        <w:gridCol w:w="2825"/>
      </w:tblGrid>
      <w:tr>
        <w:trPr>
          <w:tblHeader/>
        </w:trPr>
        <w:tc>
          <w:tcPr>
            <w:tcW w:type="dxa" w:w="209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Table</w:t>
            </w:r>
          </w:p>
        </w:tc>
        <w:tc>
          <w:tcPr>
            <w:tcW w:type="dxa" w:w="94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Owner</w:t>
            </w:r>
          </w:p>
        </w:tc>
        <w:tc>
          <w:tcPr>
            <w:tcW w:type="dxa" w:w="460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Purpose</w:t>
            </w:r>
          </w:p>
        </w:tc>
        <w:tc>
          <w:tcPr>
            <w:tcW w:type="dxa" w:w="282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Referenced By (cross-module)</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users, roles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Login accounts, one role per user, linked to an Employee</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audit_logs (Dev D)</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employees, departments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Core employee master record — the hub of the whole system</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contracts, attendances, time_off_*, payslips</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Historical + active contract per employee; wage, structure, dates, status</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payslips, payrun eligibility checks (Dev C)</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working_schedules, working_schedule_days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Weekly pattern (Day/Start/End/Break); auto-computed weekly hours</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attendances, contracts, employees</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Check-in/out, worked hours, overtime, manual-correction audit trail</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payslips (worked days / overtime), dashboard</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time_off_types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Leave policy: unit, allocation requirement, approval role, payroll integration flag</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time_off_allocations, time_off_requests, salary rules</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time_off_allocations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Allocated / taken / remaining balance with validity window</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time_off_requests</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time_off_requests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Leave requests + approval workflow</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payslips (paid/unpaid day handling), dashboard</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salary_structures, salary_rules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Ordered rule containers; fixed / percentage / formula computation, category, cap, condition</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payruns, payslip_lines</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payruns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 payroll batch: structure + period + selected employees + status</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payslips</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payslips, payslip_lines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Computed result per employee per period, and the per-rule breakdown</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payslip_attachments, dashboard</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payslip_attachments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Generated PDF reference per payslip</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email_logs (Dev D)</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audit_logs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D</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Who changed what, before/after snapshot — backs the Attendance &amp; Payslip audit-trail requirements</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t>
            </w:r>
          </w:p>
        </w:tc>
      </w:tr>
      <w:tr>
        <w:tc>
          <w:tcPr>
            <w:tcW w:type="dxa" w:w="209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email_logs</w:t>
            </w:r>
          </w:p>
        </w:tc>
        <w:tc>
          <w:tcPr>
            <w:tcW w:type="dxa" w:w="94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D</w:t>
            </w:r>
          </w:p>
        </w:tc>
        <w:tc>
          <w:tcPr>
            <w:tcW w:type="dxa" w:w="460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Per-recipient bulk-send status for “Send Payslips”</w:t>
            </w:r>
          </w:p>
        </w:tc>
        <w:tc>
          <w:tcPr>
            <w:tcW w:type="dxa" w:w="282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t>
            </w:r>
          </w:p>
        </w:tc>
      </w:tr>
    </w:tbl>
    <w:p>
      <w:pPr>
        <w:spacing w:after="140"/>
      </w:pPr>
    </w:p>
    <w:p>
      <w:pPr>
        <w:pStyle w:val="Heading2"/>
        <w:spacing w:after="120" w:before="260"/>
      </w:pPr>
      <w:r>
        <w:t xml:space="preserve">7.1 Schema Change Protocol</w:t>
      </w:r>
    </w:p>
    <w:p>
      <w:pPr>
        <w:pStyle w:val="ListParagraph"/>
        <w:numPr>
          <w:ilvl w:val="0"/>
          <w:numId w:val="1"/>
        </w:numPr>
        <w:spacing w:after="60"/>
      </w:pPr>
      <w:r>
        <w:rPr>
          <w:color w:val="1A1A2E"/>
          <w:sz w:val="21"/>
          <w:szCs w:val="21"/>
        </w:rPr>
        <w:t xml:space="preserve">Base tables that other modules must reference (users, employees, departments, contracts, working_schedules) are authored by Dev A in Phase 0, reviewed by all four, and merged before Phase 1 starts — everyone else's foreign keys point at stable tables from day one.</w:t>
      </w:r>
    </w:p>
    <w:p>
      <w:pPr>
        <w:pStyle w:val="ListParagraph"/>
        <w:numPr>
          <w:ilvl w:val="0"/>
          <w:numId w:val="1"/>
        </w:numPr>
        <w:spacing w:after="60"/>
      </w:pPr>
      <w:r>
        <w:rPr>
          <w:color w:val="1A1A2E"/>
          <w:sz w:val="21"/>
          <w:szCs w:val="21"/>
        </w:rPr>
        <w:t xml:space="preserve">Each developer's own tables live in their own migration folder (Section 8) and are applied independently, in filename-timestamp order, by a single migration runner.</w:t>
      </w:r>
    </w:p>
    <w:p>
      <w:pPr>
        <w:pStyle w:val="ListParagraph"/>
        <w:numPr>
          <w:ilvl w:val="0"/>
          <w:numId w:val="1"/>
        </w:numPr>
        <w:spacing w:after="60"/>
      </w:pPr>
      <w:r>
        <w:rPr>
          <w:color w:val="1A1A2E"/>
          <w:sz w:val="21"/>
          <w:szCs w:val="21"/>
        </w:rPr>
        <w:t xml:space="preserve">A migration that adds a foreign key into another developer's table requires that owner's review and sign-off before merge — no exceptions, even for a “quick” column.</w:t>
      </w:r>
    </w:p>
    <w:p>
      <w:pPr>
        <w:pStyle w:val="ListParagraph"/>
        <w:numPr>
          <w:ilvl w:val="0"/>
          <w:numId w:val="1"/>
        </w:numPr>
        <w:spacing w:after="60"/>
      </w:pPr>
      <w:r>
        <w:rPr>
          <w:color w:val="1A1A2E"/>
          <w:sz w:val="21"/>
          <w:szCs w:val="21"/>
        </w:rPr>
        <w:t xml:space="preserve">Schema changes are announced in the team channel before the PR is opened, so nobody is migrating a table someone else is mid-edit on.</w:t>
      </w:r>
    </w:p>
    <w:p>
      <w:r>
        <w:br w:type="page"/>
      </w:r>
    </w:p>
    <w:p>
      <w:pPr>
        <w:pStyle w:val="Heading1"/>
        <w:spacing w:after="160" w:before="400"/>
      </w:pPr>
      <w:r>
        <w:t xml:space="preserve">8. Repository &amp; Folder Structure</w:t>
      </w:r>
    </w:p>
    <w:p>
      <w:pPr>
        <w:spacing w:after="140"/>
      </w:pPr>
      <w:r>
        <w:rPr>
          <w:b w:val="false"/>
          <w:bCs w:val="false"/>
          <w:i w:val="false"/>
          <w:iCs w:val="false"/>
          <w:color w:val="1A1A2E"/>
          <w:sz w:val="21"/>
          <w:szCs w:val="21"/>
        </w:rPr>
        <w:t xml:space="preserve">A single monorepo, split by feature/module rather than by layer, so each developer's day-to-day work touches their own folder almost exclusively.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8D8E2" w:sz="2"/>
              <w:left w:val="single" w:color="D8D8E2" w:sz="2"/>
              <w:bottom w:val="single" w:color="D8D8E2" w:sz="2"/>
              <w:right w:val="single" w:color="D8D8E2" w:sz="2"/>
            </w:tcBorders>
            <w:shd w:fill="F4F4FA" w:color="auto" w:val="clear"/>
            <w:tcMar>
              <w:top w:type="dxa" w:w="160"/>
              <w:left w:type="dxa" w:w="180"/>
              <w:bottom w:type="dxa" w:w="160"/>
              <w:right w:type="dxa" w:w="180"/>
            </w:tcMar>
          </w:tcPr>
          <w:p>
            <w:pPr>
              <w:spacing w:after="0"/>
            </w:pPr>
            <w:r>
              <w:rPr>
                <w:rFonts w:ascii="Consolas" w:cs="Consolas" w:eastAsia="Consolas" w:hAnsi="Consolas"/>
                <w:color w:val="1A1A2E"/>
                <w:sz w:val="17"/>
                <w:szCs w:val="17"/>
              </w:rPr>
              <w:t xml:space="preserve">peoplepay360/</w:t>
            </w:r>
          </w:p>
          <w:p>
            <w:pPr>
              <w:spacing w:after="0"/>
            </w:pPr>
            <w:r>
              <w:rPr>
                <w:rFonts w:ascii="Consolas" w:cs="Consolas" w:eastAsia="Consolas" w:hAnsi="Consolas"/>
                <w:color w:val="1A1A2E"/>
                <w:sz w:val="17"/>
                <w:szCs w:val="17"/>
              </w:rPr>
              <w:t xml:space="preserve">├── README.md</w:t>
            </w:r>
          </w:p>
          <w:p>
            <w:pPr>
              <w:spacing w:after="0"/>
            </w:pPr>
            <w:r>
              <w:rPr>
                <w:rFonts w:ascii="Consolas" w:cs="Consolas" w:eastAsia="Consolas" w:hAnsi="Consolas"/>
                <w:color w:val="1A1A2E"/>
                <w:sz w:val="17"/>
                <w:szCs w:val="17"/>
              </w:rPr>
              <w:t xml:space="preserve">├── docs/</w:t>
            </w:r>
          </w:p>
          <w:p>
            <w:pPr>
              <w:spacing w:after="0"/>
            </w:pPr>
            <w:r>
              <w:rPr>
                <w:rFonts w:ascii="Consolas" w:cs="Consolas" w:eastAsia="Consolas" w:hAnsi="Consolas"/>
                <w:color w:val="1A1A2E"/>
                <w:sz w:val="17"/>
                <w:szCs w:val="17"/>
              </w:rPr>
              <w:t xml:space="preserve">│   ├── design-system.md</w:t>
            </w:r>
          </w:p>
          <w:p>
            <w:pPr>
              <w:spacing w:after="0"/>
            </w:pPr>
            <w:r>
              <w:rPr>
                <w:rFonts w:ascii="Consolas" w:cs="Consolas" w:eastAsia="Consolas" w:hAnsi="Consolas"/>
                <w:color w:val="1A1A2E"/>
                <w:sz w:val="17"/>
                <w:szCs w:val="17"/>
              </w:rPr>
              <w:t xml:space="preserve">│   ├── api-contract.yaml       # OpenAPI — contract-first</w:t>
            </w:r>
          </w:p>
          <w:p>
            <w:pPr>
              <w:spacing w:after="0"/>
            </w:pPr>
            <w:r>
              <w:rPr>
                <w:rFonts w:ascii="Consolas" w:cs="Consolas" w:eastAsia="Consolas" w:hAnsi="Consolas"/>
                <w:color w:val="1A1A2E"/>
                <w:sz w:val="17"/>
                <w:szCs w:val="17"/>
              </w:rPr>
              <w:t xml:space="preserve">│   ├── db-erd.png</w:t>
            </w:r>
          </w:p>
          <w:p>
            <w:pPr>
              <w:spacing w:after="0"/>
            </w:pPr>
            <w:r>
              <w:rPr>
                <w:rFonts w:ascii="Consolas" w:cs="Consolas" w:eastAsia="Consolas" w:hAnsi="Consolas"/>
                <w:color w:val="1A1A2E"/>
                <w:sz w:val="17"/>
                <w:szCs w:val="17"/>
              </w:rPr>
              <w:t xml:space="preserve">│   ├── phase-plan.md</w:t>
            </w:r>
          </w:p>
          <w:p>
            <w:pPr>
              <w:spacing w:after="0"/>
            </w:pPr>
            <w:r>
              <w:rPr>
                <w:rFonts w:ascii="Consolas" w:cs="Consolas" w:eastAsia="Consolas" w:hAnsi="Consolas"/>
                <w:color w:val="1A1A2E"/>
                <w:sz w:val="17"/>
                <w:szCs w:val="17"/>
              </w:rPr>
              <w:t xml:space="preserve">│   └── demo-script.md</w:t>
            </w:r>
          </w:p>
          <w:p>
            <w:pPr>
              <w:spacing w:after="0"/>
            </w:pPr>
            <w:r>
              <w:rPr>
                <w:rFonts w:ascii="Consolas" w:cs="Consolas" w:eastAsia="Consolas" w:hAnsi="Consolas"/>
                <w:color w:val="1A1A2E"/>
                <w:sz w:val="17"/>
                <w:szCs w:val="17"/>
              </w:rPr>
              <w:t xml:space="preserve">├── database/</w:t>
            </w:r>
          </w:p>
          <w:p>
            <w:pPr>
              <w:spacing w:after="0"/>
            </w:pPr>
            <w:r>
              <w:rPr>
                <w:rFonts w:ascii="Consolas" w:cs="Consolas" w:eastAsia="Consolas" w:hAnsi="Consolas"/>
                <w:color w:val="1A1A2E"/>
                <w:sz w:val="17"/>
                <w:szCs w:val="17"/>
              </w:rPr>
              <w:t xml:space="preserve">│   ├── migrations/</w:t>
            </w:r>
          </w:p>
          <w:p>
            <w:pPr>
              <w:spacing w:after="0"/>
            </w:pPr>
            <w:r>
              <w:rPr>
                <w:rFonts w:ascii="Consolas" w:cs="Consolas" w:eastAsia="Consolas" w:hAnsi="Consolas"/>
                <w:color w:val="1A1A2E"/>
                <w:sz w:val="17"/>
                <w:szCs w:val="17"/>
              </w:rPr>
              <w:t xml:space="preserve">│   │   ├── 0000_core_foundation/   # Phase 0 — Dev A authors, all review</w:t>
            </w:r>
          </w:p>
          <w:p>
            <w:pPr>
              <w:spacing w:after="0"/>
            </w:pPr>
            <w:r>
              <w:rPr>
                <w:rFonts w:ascii="Consolas" w:cs="Consolas" w:eastAsia="Consolas" w:hAnsi="Consolas"/>
                <w:color w:val="1A1A2E"/>
                <w:sz w:val="17"/>
                <w:szCs w:val="17"/>
              </w:rPr>
              <w:t xml:space="preserve">│   │   ├── devA_identity_employee/</w:t>
            </w:r>
          </w:p>
          <w:p>
            <w:pPr>
              <w:spacing w:after="0"/>
            </w:pPr>
            <w:r>
              <w:rPr>
                <w:rFonts w:ascii="Consolas" w:cs="Consolas" w:eastAsia="Consolas" w:hAnsi="Consolas"/>
                <w:color w:val="1A1A2E"/>
                <w:sz w:val="17"/>
                <w:szCs w:val="17"/>
              </w:rPr>
              <w:t xml:space="preserve">│   │   ├── devB_attendance_timeoff/</w:t>
            </w:r>
          </w:p>
          <w:p>
            <w:pPr>
              <w:spacing w:after="0"/>
            </w:pPr>
            <w:r>
              <w:rPr>
                <w:rFonts w:ascii="Consolas" w:cs="Consolas" w:eastAsia="Consolas" w:hAnsi="Consolas"/>
                <w:color w:val="1A1A2E"/>
                <w:sz w:val="17"/>
                <w:szCs w:val="17"/>
              </w:rPr>
              <w:t xml:space="preserve">│   │   ├── devC_payroll_engine/</w:t>
            </w:r>
          </w:p>
          <w:p>
            <w:pPr>
              <w:spacing w:after="0"/>
            </w:pPr>
            <w:r>
              <w:rPr>
                <w:rFonts w:ascii="Consolas" w:cs="Consolas" w:eastAsia="Consolas" w:hAnsi="Consolas"/>
                <w:color w:val="1A1A2E"/>
                <w:sz w:val="17"/>
                <w:szCs w:val="17"/>
              </w:rPr>
              <w:t xml:space="preserve">│   │   └── devD_reporting_platform/</w:t>
            </w:r>
          </w:p>
          <w:p>
            <w:pPr>
              <w:spacing w:after="0"/>
            </w:pPr>
            <w:r>
              <w:rPr>
                <w:rFonts w:ascii="Consolas" w:cs="Consolas" w:eastAsia="Consolas" w:hAnsi="Consolas"/>
                <w:color w:val="1A1A2E"/>
                <w:sz w:val="17"/>
                <w:szCs w:val="17"/>
              </w:rPr>
              <w:t xml:space="preserve">│   ├── seeders/</w:t>
            </w:r>
          </w:p>
          <w:p>
            <w:pPr>
              <w:spacing w:after="0"/>
            </w:pPr>
            <w:r>
              <w:rPr>
                <w:rFonts w:ascii="Consolas" w:cs="Consolas" w:eastAsia="Consolas" w:hAnsi="Consolas"/>
                <w:color w:val="1A1A2E"/>
                <w:sz w:val="17"/>
                <w:szCs w:val="17"/>
              </w:rPr>
              <w:t xml:space="preserve">│   │   ├── 00_roles_users.seed.ts</w:t>
            </w:r>
          </w:p>
          <w:p>
            <w:pPr>
              <w:spacing w:after="0"/>
            </w:pPr>
            <w:r>
              <w:rPr>
                <w:rFonts w:ascii="Consolas" w:cs="Consolas" w:eastAsia="Consolas" w:hAnsi="Consolas"/>
                <w:color w:val="1A1A2E"/>
                <w:sz w:val="17"/>
                <w:szCs w:val="17"/>
              </w:rPr>
              <w:t xml:space="preserve">│   │   ├── 01_employees_contracts.seed.ts    # the Amara Chen scenario</w:t>
            </w:r>
          </w:p>
          <w:p>
            <w:pPr>
              <w:spacing w:after="0"/>
            </w:pPr>
            <w:r>
              <w:rPr>
                <w:rFonts w:ascii="Consolas" w:cs="Consolas" w:eastAsia="Consolas" w:hAnsi="Consolas"/>
                <w:color w:val="1A1A2E"/>
                <w:sz w:val="17"/>
                <w:szCs w:val="17"/>
              </w:rPr>
              <w:t xml:space="preserve">│   │   ├── 02_attendance_timeoff.seed.ts</w:t>
            </w:r>
          </w:p>
          <w:p>
            <w:pPr>
              <w:spacing w:after="0"/>
            </w:pPr>
            <w:r>
              <w:rPr>
                <w:rFonts w:ascii="Consolas" w:cs="Consolas" w:eastAsia="Consolas" w:hAnsi="Consolas"/>
                <w:color w:val="1A1A2E"/>
                <w:sz w:val="17"/>
                <w:szCs w:val="17"/>
              </w:rPr>
              <w:t xml:space="preserve">│   │   └── 03_payroll_demo_data.seed.ts</w:t>
            </w:r>
          </w:p>
          <w:p>
            <w:pPr>
              <w:spacing w:after="0"/>
            </w:pPr>
            <w:r>
              <w:rPr>
                <w:rFonts w:ascii="Consolas" w:cs="Consolas" w:eastAsia="Consolas" w:hAnsi="Consolas"/>
                <w:color w:val="1A1A2E"/>
                <w:sz w:val="17"/>
                <w:szCs w:val="17"/>
              </w:rPr>
              <w:t xml:space="preserve">│   └── schema-registry.md      # ownership map — keep in sync w/ Sec. 7</w:t>
            </w:r>
          </w:p>
          <w:p>
            <w:pPr>
              <w:spacing w:after="0"/>
            </w:pPr>
            <w:r>
              <w:rPr>
                <w:rFonts w:ascii="Consolas" w:cs="Consolas" w:eastAsia="Consolas" w:hAnsi="Consolas"/>
                <w:color w:val="1A1A2E"/>
                <w:sz w:val="17"/>
                <w:szCs w:val="17"/>
              </w:rPr>
              <w:t xml:space="preserve">├── backend/</w:t>
            </w:r>
          </w:p>
          <w:p>
            <w:pPr>
              <w:spacing w:after="0"/>
            </w:pPr>
            <w:r>
              <w:rPr>
                <w:rFonts w:ascii="Consolas" w:cs="Consolas" w:eastAsia="Consolas" w:hAnsi="Consolas"/>
                <w:color w:val="1A1A2E"/>
                <w:sz w:val="17"/>
                <w:szCs w:val="17"/>
              </w:rPr>
              <w:t xml:space="preserve">│   ├── src/</w:t>
            </w:r>
          </w:p>
          <w:p>
            <w:pPr>
              <w:spacing w:after="0"/>
            </w:pPr>
            <w:r>
              <w:rPr>
                <w:rFonts w:ascii="Consolas" w:cs="Consolas" w:eastAsia="Consolas" w:hAnsi="Consolas"/>
                <w:color w:val="1A1A2E"/>
                <w:sz w:val="17"/>
                <w:szCs w:val="17"/>
              </w:rPr>
              <w:t xml:space="preserve">│   │   ├── core/               # SHARED: auth, RBAC, db client, logger</w:t>
            </w:r>
          </w:p>
          <w:p>
            <w:pPr>
              <w:spacing w:after="0"/>
            </w:pPr>
            <w:r>
              <w:rPr>
                <w:rFonts w:ascii="Consolas" w:cs="Consolas" w:eastAsia="Consolas" w:hAnsi="Consolas"/>
                <w:color w:val="1A1A2E"/>
                <w:sz w:val="17"/>
                <w:szCs w:val="17"/>
              </w:rPr>
              <w:t xml:space="preserve">│   │   ├── modules/</w:t>
            </w:r>
          </w:p>
          <w:p>
            <w:pPr>
              <w:spacing w:after="0"/>
            </w:pPr>
            <w:r>
              <w:rPr>
                <w:rFonts w:ascii="Consolas" w:cs="Consolas" w:eastAsia="Consolas" w:hAnsi="Consolas"/>
                <w:color w:val="1A1A2E"/>
                <w:sz w:val="17"/>
                <w:szCs w:val="17"/>
              </w:rPr>
              <w:t xml:space="preserve">│   │   │   ├── identity-employee/    # Dev A</w:t>
            </w:r>
          </w:p>
          <w:p>
            <w:pPr>
              <w:spacing w:after="0"/>
            </w:pPr>
            <w:r>
              <w:rPr>
                <w:rFonts w:ascii="Consolas" w:cs="Consolas" w:eastAsia="Consolas" w:hAnsi="Consolas"/>
                <w:color w:val="1A1A2E"/>
                <w:sz w:val="17"/>
                <w:szCs w:val="17"/>
              </w:rPr>
              <w:t xml:space="preserve">│   │   │   ├── attendance-timeoff/   # Dev B</w:t>
            </w:r>
          </w:p>
          <w:p>
            <w:pPr>
              <w:spacing w:after="0"/>
            </w:pPr>
            <w:r>
              <w:rPr>
                <w:rFonts w:ascii="Consolas" w:cs="Consolas" w:eastAsia="Consolas" w:hAnsi="Consolas"/>
                <w:color w:val="1A1A2E"/>
                <w:sz w:val="17"/>
                <w:szCs w:val="17"/>
              </w:rPr>
              <w:t xml:space="preserve">│   │   │   ├── payroll-engine/       # Dev C</w:t>
            </w:r>
          </w:p>
          <w:p>
            <w:pPr>
              <w:spacing w:after="0"/>
            </w:pPr>
            <w:r>
              <w:rPr>
                <w:rFonts w:ascii="Consolas" w:cs="Consolas" w:eastAsia="Consolas" w:hAnsi="Consolas"/>
                <w:color w:val="1A1A2E"/>
                <w:sz w:val="17"/>
                <w:szCs w:val="17"/>
              </w:rPr>
              <w:t xml:space="preserve">│   │   │   └── reporting-platform/   # Dev D</w:t>
            </w:r>
          </w:p>
          <w:p>
            <w:pPr>
              <w:spacing w:after="0"/>
            </w:pPr>
            <w:r>
              <w:rPr>
                <w:rFonts w:ascii="Consolas" w:cs="Consolas" w:eastAsia="Consolas" w:hAnsi="Consolas"/>
                <w:color w:val="1A1A2E"/>
                <w:sz w:val="17"/>
                <w:szCs w:val="17"/>
              </w:rPr>
              <w:t xml:space="preserve">│   │   ├── routes.loader.ts    # route auto-loader (never hand-edited)</w:t>
            </w:r>
          </w:p>
          <w:p>
            <w:pPr>
              <w:spacing w:after="0"/>
            </w:pPr>
            <w:r>
              <w:rPr>
                <w:rFonts w:ascii="Consolas" w:cs="Consolas" w:eastAsia="Consolas" w:hAnsi="Consolas"/>
                <w:color w:val="1A1A2E"/>
                <w:sz w:val="17"/>
                <w:szCs w:val="17"/>
              </w:rPr>
              <w:t xml:space="preserve">│   │   └── server.ts</w:t>
            </w:r>
          </w:p>
          <w:p>
            <w:pPr>
              <w:spacing w:after="0"/>
            </w:pPr>
            <w:r>
              <w:rPr>
                <w:rFonts w:ascii="Consolas" w:cs="Consolas" w:eastAsia="Consolas" w:hAnsi="Consolas"/>
                <w:color w:val="1A1A2E"/>
                <w:sz w:val="17"/>
                <w:szCs w:val="17"/>
              </w:rPr>
              <w:t xml:space="preserve">│   └── tests/  (devA/ devB/ devC/ devD/)</w:t>
            </w:r>
          </w:p>
          <w:p>
            <w:pPr>
              <w:spacing w:after="0"/>
            </w:pPr>
            <w:r>
              <w:rPr>
                <w:rFonts w:ascii="Consolas" w:cs="Consolas" w:eastAsia="Consolas" w:hAnsi="Consolas"/>
                <w:color w:val="1A1A2E"/>
                <w:sz w:val="17"/>
                <w:szCs w:val="17"/>
              </w:rPr>
              <w:t xml:space="preserve">├── frontend/</w:t>
            </w:r>
          </w:p>
          <w:p>
            <w:pPr>
              <w:spacing w:after="0"/>
            </w:pPr>
            <w:r>
              <w:rPr>
                <w:rFonts w:ascii="Consolas" w:cs="Consolas" w:eastAsia="Consolas" w:hAnsi="Consolas"/>
                <w:color w:val="1A1A2E"/>
                <w:sz w:val="17"/>
                <w:szCs w:val="17"/>
              </w:rPr>
              <w:t xml:space="preserve">│   ├── src/</w:t>
            </w:r>
          </w:p>
          <w:p>
            <w:pPr>
              <w:spacing w:after="0"/>
            </w:pPr>
            <w:r>
              <w:rPr>
                <w:rFonts w:ascii="Consolas" w:cs="Consolas" w:eastAsia="Consolas" w:hAnsi="Consolas"/>
                <w:color w:val="1A1A2E"/>
                <w:sz w:val="17"/>
                <w:szCs w:val="17"/>
              </w:rPr>
              <w:t xml:space="preserve">│   │   ├── components/ui/      # SHARED UI kit — Dev D owns, others PR</w:t>
            </w:r>
          </w:p>
          <w:p>
            <w:pPr>
              <w:spacing w:after="0"/>
            </w:pPr>
            <w:r>
              <w:rPr>
                <w:rFonts w:ascii="Consolas" w:cs="Consolas" w:eastAsia="Consolas" w:hAnsi="Consolas"/>
                <w:color w:val="1A1A2E"/>
                <w:sz w:val="17"/>
                <w:szCs w:val="17"/>
              </w:rPr>
              <w:t xml:space="preserve">│   │   ├── layouts/                 # Navbar, Sub-nav, Sidebar (shared)</w:t>
            </w:r>
          </w:p>
          <w:p>
            <w:pPr>
              <w:spacing w:after="0"/>
            </w:pPr>
            <w:r>
              <w:rPr>
                <w:rFonts w:ascii="Consolas" w:cs="Consolas" w:eastAsia="Consolas" w:hAnsi="Consolas"/>
                <w:color w:val="1A1A2E"/>
                <w:sz w:val="17"/>
                <w:szCs w:val="17"/>
              </w:rPr>
              <w:t xml:space="preserve">│   │   ├── features/</w:t>
            </w:r>
          </w:p>
          <w:p>
            <w:pPr>
              <w:spacing w:after="0"/>
            </w:pPr>
            <w:r>
              <w:rPr>
                <w:rFonts w:ascii="Consolas" w:cs="Consolas" w:eastAsia="Consolas" w:hAnsi="Consolas"/>
                <w:color w:val="1A1A2E"/>
                <w:sz w:val="17"/>
                <w:szCs w:val="17"/>
              </w:rPr>
              <w:t xml:space="preserve">│   │   │   ├── auth-employee/        # Dev A</w:t>
            </w:r>
          </w:p>
          <w:p>
            <w:pPr>
              <w:spacing w:after="0"/>
            </w:pPr>
            <w:r>
              <w:rPr>
                <w:rFonts w:ascii="Consolas" w:cs="Consolas" w:eastAsia="Consolas" w:hAnsi="Consolas"/>
                <w:color w:val="1A1A2E"/>
                <w:sz w:val="17"/>
                <w:szCs w:val="17"/>
              </w:rPr>
              <w:t xml:space="preserve">│   │   │   ├── attendance-timeoff/   # Dev B</w:t>
            </w:r>
          </w:p>
          <w:p>
            <w:pPr>
              <w:spacing w:after="0"/>
            </w:pPr>
            <w:r>
              <w:rPr>
                <w:rFonts w:ascii="Consolas" w:cs="Consolas" w:eastAsia="Consolas" w:hAnsi="Consolas"/>
                <w:color w:val="1A1A2E"/>
                <w:sz w:val="17"/>
                <w:szCs w:val="17"/>
              </w:rPr>
              <w:t xml:space="preserve">│   │   │   ├── payroll/              # Dev C</w:t>
            </w:r>
          </w:p>
          <w:p>
            <w:pPr>
              <w:spacing w:after="0"/>
            </w:pPr>
            <w:r>
              <w:rPr>
                <w:rFonts w:ascii="Consolas" w:cs="Consolas" w:eastAsia="Consolas" w:hAnsi="Consolas"/>
                <w:color w:val="1A1A2E"/>
                <w:sz w:val="17"/>
                <w:szCs w:val="17"/>
              </w:rPr>
              <w:t xml:space="preserve">│   │   │   └── dashboard-reports/    # Dev D</w:t>
            </w:r>
          </w:p>
          <w:p>
            <w:pPr>
              <w:spacing w:after="0"/>
            </w:pPr>
            <w:r>
              <w:rPr>
                <w:rFonts w:ascii="Consolas" w:cs="Consolas" w:eastAsia="Consolas" w:hAnsi="Consolas"/>
                <w:color w:val="1A1A2E"/>
                <w:sz w:val="17"/>
                <w:szCs w:val="17"/>
              </w:rPr>
              <w:t xml:space="preserve">│   │   ├── lib/api/                 # one client file per module, append-only barrel export</w:t>
            </w:r>
          </w:p>
          <w:p>
            <w:pPr>
              <w:spacing w:after="0"/>
            </w:pPr>
            <w:r>
              <w:rPr>
                <w:rFonts w:ascii="Consolas" w:cs="Consolas" w:eastAsia="Consolas" w:hAnsi="Consolas"/>
                <w:color w:val="1A1A2E"/>
                <w:sz w:val="17"/>
                <w:szCs w:val="17"/>
              </w:rPr>
              <w:t xml:space="preserve">│   │   ├── routes.config.tsx   # merges each feature's own routes file</w:t>
            </w:r>
          </w:p>
          <w:p>
            <w:pPr>
              <w:spacing w:after="0"/>
            </w:pPr>
            <w:r>
              <w:rPr>
                <w:rFonts w:ascii="Consolas" w:cs="Consolas" w:eastAsia="Consolas" w:hAnsi="Consolas"/>
                <w:color w:val="1A1A2E"/>
                <w:sz w:val="17"/>
                <w:szCs w:val="17"/>
              </w:rPr>
              <w:t xml:space="preserve">│   │   └── App.tsx</w:t>
            </w:r>
          </w:p>
          <w:p>
            <w:pPr>
              <w:spacing w:after="0"/>
            </w:pPr>
            <w:r>
              <w:rPr>
                <w:rFonts w:ascii="Consolas" w:cs="Consolas" w:eastAsia="Consolas" w:hAnsi="Consolas"/>
                <w:color w:val="1A1A2E"/>
                <w:sz w:val="17"/>
                <w:szCs w:val="17"/>
              </w:rPr>
              <w:t xml:space="preserve">├── .github/workflows/ci.yml</w:t>
            </w:r>
          </w:p>
          <w:p>
            <w:pPr>
              <w:spacing w:after="0"/>
            </w:pPr>
            <w:r>
              <w:rPr>
                <w:rFonts w:ascii="Consolas" w:cs="Consolas" w:eastAsia="Consolas" w:hAnsi="Consolas"/>
                <w:color w:val="1A1A2E"/>
                <w:sz w:val="17"/>
                <w:szCs w:val="17"/>
              </w:rPr>
              <w:t xml:space="preserve">└── package.json                   # npm workspaces: backend, frontend</w:t>
            </w:r>
          </w:p>
        </w:tc>
      </w:tr>
    </w:tbl>
    <w:p>
      <w:r>
        <w:br w:type="page"/>
      </w:r>
    </w:p>
    <w:p>
      <w:pPr>
        <w:pStyle w:val="Heading1"/>
        <w:spacing w:after="160" w:before="400"/>
      </w:pPr>
      <w:r>
        <w:t xml:space="preserve">9. Work Division — 4 Developer Squads</w:t>
      </w:r>
    </w:p>
    <w:p>
      <w:pPr>
        <w:spacing w:after="140"/>
      </w:pPr>
      <w:r>
        <w:rPr>
          <w:b w:val="false"/>
          <w:bCs w:val="false"/>
          <w:i w:val="false"/>
          <w:iCs w:val="false"/>
          <w:color w:val="1A1A2E"/>
          <w:sz w:val="21"/>
          <w:szCs w:val="21"/>
        </w:rPr>
        <w:t xml:space="preserve">The split follows the data chain in Section 1.1, not a frontend/backend line — each developer owns a vertical slice (DB tables → API → UI) so they are rarely blocked waiting on someone else's layer.</w:t>
      </w:r>
    </w:p>
    <w:p>
      <w:pPr>
        <w:pStyle w:val="Heading2"/>
        <w:spacing w:after="120" w:before="260"/>
      </w:pPr>
      <w:r>
        <w:t xml:space="preserve">9.1 Dev A — Core HR &amp; Identity Squad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7954"/>
      </w:tblGrid>
      <w:tr>
        <w:trPr>
          <w:tblHeader/>
        </w:trPr>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Attribute</w:t>
            </w:r>
          </w:p>
        </w:tc>
        <w:tc>
          <w:tcPr>
            <w:tcW w:type="dxa" w:w="7954"/>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Detail</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Modules owned</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0 (auth core), A1, A2, A3, B1, B2</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DB tables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users, roles, employees, departments, contracts, working_schedules, working_schedule_days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 folder</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backend/src/modules/identity-employee/</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 folder</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frontend/src/features/auth-employee/</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API base paths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/api/v1/auth, /api/v1/users, /api/v1/employees, /api/v1/departments, /api/v1/contracts, /api/v1/schedules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Key deliverables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JWT login + RBAC middleware (shared by everyone); Employee Kanban/List/Form with smart buttons; Contract CRUD with the “no concurrent active contract” validation; Working Schedule builder with auto-computed weekly hours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Critical note</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This squad's base tables (users, employees, contracts, working_schedules) must ship in Phase 0 — every other squad's foreign keys point at them</w:t>
            </w:r>
          </w:p>
        </w:tc>
      </w:tr>
    </w:tbl>
    <w:p>
      <w:pPr>
        <w:spacing w:after="120"/>
      </w:pPr>
    </w:p>
    <w:p>
      <w:pPr>
        <w:pStyle w:val="Heading2"/>
        <w:spacing w:after="120" w:before="260"/>
      </w:pPr>
      <w:r>
        <w:t xml:space="preserve">9.2 Dev B — Time &amp; Presence Squad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7954"/>
      </w:tblGrid>
      <w:tr>
        <w:trPr>
          <w:tblHeader/>
        </w:trPr>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Attribute</w:t>
            </w:r>
          </w:p>
        </w:tc>
        <w:tc>
          <w:tcPr>
            <w:tcW w:type="dxa" w:w="7954"/>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Detail</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Modules owned</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A4, B3, B4</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DB tables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attendances, time_off_types, time_off_allocations, time_off_requests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 folder</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backend/src/modules/attendance-timeoff/</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 folder</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frontend/src/features/attendance-timeoff/</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API base paths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/api/v1/attendance, /api/v1/timeoff/types, /api/v1/timeoff/allocations, /api/v1/timeoff/requests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Key deliverables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Check-in/out widget; Attendance list/form with manual-correction audit trail and missing-checkout flag; Time Off Type config; Allocation engine with validity window; Request approval flow with balance deduction and overlap prevention</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Depends on</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A's employees/contracts/schedules tables (read-only FK)</w:t>
            </w:r>
          </w:p>
        </w:tc>
      </w:tr>
    </w:tbl>
    <w:p>
      <w:pPr>
        <w:spacing w:after="120"/>
      </w:pPr>
    </w:p>
    <w:p>
      <w:pPr>
        <w:pStyle w:val="Heading2"/>
        <w:spacing w:after="120" w:before="260"/>
      </w:pPr>
      <w:r>
        <w:t xml:space="preserve">9.3 Dev C — Payroll Engine Squad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7954"/>
      </w:tblGrid>
      <w:tr>
        <w:trPr>
          <w:tblHeader/>
        </w:trPr>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Attribute</w:t>
            </w:r>
          </w:p>
        </w:tc>
        <w:tc>
          <w:tcPr>
            <w:tcW w:type="dxa" w:w="7954"/>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Detail</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Modules owned</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A5, A6, B5, B6, B7, B8</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DB tables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salary_structures, salary_rules, payruns, payslips, payslip_lines, payslip_attachments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 folder</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backend/src/modules/payroll-engine/</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 folder</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frontend/src/features/payroll/</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API base paths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/api/v1/payroll/structures, /api/v1/payroll/rules, /api/v1/payroll/payruns, /api/v1/payroll/payslips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Key deliverables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Sequenced rule engine (fixed / % / formula, cap support, conditional gating); proration; period→contract resolution; 2-step Payrun wizard; Compute/Validate/Mark-Paid/Send workflow with pre-validation warnings; PDF generation; bulk email</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Depends on</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 (employees/contracts/schedules) and Dev B (worked days, overtime, approved/paid vs unpaid leave)</w:t>
            </w:r>
          </w:p>
        </w:tc>
      </w:tr>
    </w:tbl>
    <w:p>
      <w:pPr>
        <w:spacing w:after="120"/>
      </w:pPr>
    </w:p>
    <w:p>
      <w:pPr>
        <w:pStyle w:val="Heading2"/>
        <w:spacing w:after="120" w:before="260"/>
      </w:pPr>
      <w:r>
        <w:t xml:space="preserve">9.4 Dev D — Reporting, Access &amp; Platform Squad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7954"/>
      </w:tblGrid>
      <w:tr>
        <w:trPr>
          <w:tblHeader/>
        </w:trPr>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Attribute</w:t>
            </w:r>
          </w:p>
        </w:tc>
        <w:tc>
          <w:tcPr>
            <w:tcW w:type="dxa" w:w="7954"/>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Detail</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Modules owned</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A7, B9, plus cross-cutting: shared design-system kit, RBAC UI enforcement, Admin User Management, DevOps/CI, seed data, QA</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DB tables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audit_logs, email_logs (mostly read-only aggregation elsewhere)</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 folder</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backend/src/modules/reporting-platform/ (co-maintains backend/src/core/)</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 folder</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frontend/src/components/ui/ (Phase 0 build) + frontend/src/features/dashboard-reports/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API base paths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/api/v1/reports, /api/v1/dashboard</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Key deliverables</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Shared UI kit per Section 4; live-data Dashboard (KPIs, charts, proactive alerts, filters); route guards enforcing Section 2's matrix; seed data (Amara Chen + bulk sample); CI pipeline; end-to-end integration testing</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Depends on</w:t>
            </w:r>
          </w:p>
        </w:tc>
        <w:tc>
          <w:tcPr>
            <w:tcW w:type="dxa" w:w="795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All three other squads' data for aggregation — this squad's Dashboard work is necessarily the last to fully land</w:t>
            </w:r>
          </w:p>
        </w:tc>
      </w:tr>
    </w:tbl>
    <w:p>
      <w:pPr>
        <w:spacing w:after="120"/>
      </w:pPr>
    </w:p>
    <w:p>
      <w:r>
        <w:br w:type="page"/>
      </w:r>
    </w:p>
    <w:p>
      <w:pPr>
        <w:pStyle w:val="Heading1"/>
        <w:spacing w:after="160" w:before="400"/>
      </w:pPr>
      <w:r>
        <w:t xml:space="preserve">10. Git Workflow &amp; Conflict-Avoidance Protocol</w:t>
      </w:r>
    </w:p>
    <w:p>
      <w:pPr>
        <w:pStyle w:val="Heading2"/>
        <w:spacing w:after="120" w:before="260"/>
      </w:pPr>
      <w:r>
        <w:t xml:space="preserve">10.1 Branching Model</w:t>
      </w:r>
    </w:p>
    <w:p>
      <w:pPr>
        <w:pStyle w:val="ListParagraph"/>
        <w:numPr>
          <w:ilvl w:val="0"/>
          <w:numId w:val="1"/>
        </w:numPr>
        <w:spacing w:after="60"/>
      </w:pPr>
      <w:r>
        <w:rPr>
          <w:color w:val="1A1A2E"/>
          <w:sz w:val="21"/>
          <w:szCs w:val="21"/>
        </w:rPr>
        <w:t xml:space="preserve">main — protected, always deployable; tagged at each phase exit.</w:t>
      </w:r>
    </w:p>
    <w:p>
      <w:pPr>
        <w:pStyle w:val="ListParagraph"/>
        <w:numPr>
          <w:ilvl w:val="0"/>
          <w:numId w:val="1"/>
        </w:numPr>
        <w:spacing w:after="60"/>
      </w:pPr>
      <w:r>
        <w:rPr>
          <w:color w:val="1A1A2E"/>
          <w:sz w:val="21"/>
          <w:szCs w:val="21"/>
        </w:rPr>
        <w:t xml:space="preserve">develop — daily integration branch; every squad merges here at end of day.</w:t>
      </w:r>
    </w:p>
    <w:p>
      <w:pPr>
        <w:pStyle w:val="ListParagraph"/>
        <w:numPr>
          <w:ilvl w:val="0"/>
          <w:numId w:val="1"/>
        </w:numPr>
        <w:spacing w:after="60"/>
      </w:pPr>
      <w:r>
        <w:rPr>
          <w:color w:val="1A1A2E"/>
          <w:sz w:val="21"/>
          <w:szCs w:val="21"/>
        </w:rPr>
        <w:t xml:space="preserve">feature/&lt;dev&gt;-&lt;module&gt;-&lt;short-desc&gt; — e.g. feature/devC-salary-rule-cap. One PR, one reviewer, CI must pass before merge.</w:t>
      </w:r>
    </w:p>
    <w:p>
      <w:pPr>
        <w:spacing w:after="60"/>
      </w:pPr>
    </w:p>
    <w:p>
      <w:pPr>
        <w:pStyle w:val="Heading2"/>
        <w:spacing w:after="120" w:before="260"/>
      </w:pPr>
      <w:r>
        <w:t xml:space="preserve">10.2 Commit Convention</w:t>
      </w:r>
    </w:p>
    <w:p>
      <w:pPr>
        <w:spacing w:after="140"/>
      </w:pPr>
      <w:r>
        <w:rPr>
          <w:rFonts w:ascii="Consolas" w:cs="Consolas" w:eastAsia="Consolas" w:hAnsi="Consolas"/>
          <w:b w:val="false"/>
          <w:bCs w:val="false"/>
          <w:i w:val="false"/>
          <w:iCs w:val="false"/>
          <w:color w:val="1A1A2E"/>
          <w:sz w:val="21"/>
          <w:szCs w:val="21"/>
        </w:rPr>
        <w:t xml:space="preserve">Conventional Commits, scoped by module — e.g. feat(payroll): add PF cap rule, fix(attendance): correct missing-checkout flag, docs(readme): update phase plan.</w:t>
      </w:r>
    </w:p>
    <w:p>
      <w:pPr>
        <w:pStyle w:val="Heading2"/>
        <w:spacing w:after="120" w:before="260"/>
      </w:pPr>
      <w:r>
        <w:t xml:space="preserve">10.3 Named Conflict Hotspots &amp; Rules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3139"/>
        <w:gridCol w:w="4814"/>
      </w:tblGrid>
      <w:tr>
        <w:trPr>
          <w:tblHeader/>
        </w:trPr>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Shared Area</w:t>
            </w:r>
          </w:p>
        </w:tc>
        <w:tc>
          <w:tcPr>
            <w:tcW w:type="dxa" w:w="313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Risk</w:t>
            </w:r>
          </w:p>
        </w:tc>
        <w:tc>
          <w:tcPr>
            <w:tcW w:type="dxa" w:w="4814"/>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Mitigation Rule</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Migration files per module</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Two devs alter the same table</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Single-owner folders (Sec. 7); cross-owner FK changes need that owner's review first</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backend/src/routes.loader.ts</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Manual edits collide</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Auto-discovery pattern — the file is written once in Phase 0 and never hand-edited again</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frontend/src/routes.config.tsx</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Same as above</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Each feature owns its own routes file; the merge point changes rarely and is coordinated in standup</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frontend/src/components/ui/*</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Conflicting style edits</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Owned by Dev D; other squads request changes via PR/issue rather than editing directly</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package.json / lockfile</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Dependency-add conflicts</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New dependencies are announced in the team channel before install; lockfile updates are rebased, not force-pushed</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.env / config</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Secrets drift between machines</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Single .env.example maintained by Dev D; real secrets are never committed</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docs/api-contract.yaml</w:t>
            </w:r>
          </w:p>
        </w:tc>
        <w:tc>
          <w:tcPr>
            <w:tcW w:type="dxa" w:w="313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Breaking API changes surprise a consumer squad</w:t>
            </w:r>
          </w:p>
        </w:tc>
        <w:tc>
          <w:tcPr>
            <w:tcW w:type="dxa" w:w="4814"/>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Contract-first: propose the change in this file via PR before writing the implementation</w:t>
            </w:r>
          </w:p>
        </w:tc>
      </w:tr>
    </w:tbl>
    <w:p>
      <w:r>
        <w:br w:type="page"/>
      </w:r>
    </w:p>
    <w:p>
      <w:pPr>
        <w:pStyle w:val="Heading1"/>
        <w:spacing w:after="160" w:before="400"/>
      </w:pPr>
      <w:r>
        <w:t xml:space="preserve">11. API Contract Convention</w:t>
      </w:r>
    </w:p>
    <w:p>
      <w:pPr>
        <w:pStyle w:val="ListParagraph"/>
        <w:numPr>
          <w:ilvl w:val="0"/>
          <w:numId w:val="1"/>
        </w:numPr>
        <w:spacing w:after="60"/>
      </w:pPr>
      <w:r>
        <w:rPr>
          <w:color w:val="1A1A2E"/>
          <w:sz w:val="21"/>
          <w:szCs w:val="21"/>
        </w:rPr>
        <w:t xml:space="preserve">Base path: /api/v1, then the module prefix from Section 9 (e.g. /api/v1/payroll/payslips).</w:t>
      </w:r>
    </w:p>
    <w:p>
      <w:pPr>
        <w:pStyle w:val="ListParagraph"/>
        <w:numPr>
          <w:ilvl w:val="0"/>
          <w:numId w:val="1"/>
        </w:numPr>
        <w:spacing w:after="60"/>
      </w:pPr>
      <w:r>
        <w:rPr>
          <w:color w:val="1A1A2E"/>
          <w:sz w:val="21"/>
          <w:szCs w:val="21"/>
        </w:rPr>
        <w:t xml:space="preserve">Success envelope: { success: true, data, meta?: { page, pageSize, total } }</w:t>
      </w:r>
    </w:p>
    <w:p>
      <w:pPr>
        <w:pStyle w:val="ListParagraph"/>
        <w:numPr>
          <w:ilvl w:val="0"/>
          <w:numId w:val="1"/>
        </w:numPr>
        <w:spacing w:after="60"/>
      </w:pPr>
      <w:r>
        <w:rPr>
          <w:color w:val="1A1A2E"/>
          <w:sz w:val="21"/>
          <w:szCs w:val="21"/>
        </w:rPr>
        <w:t xml:space="preserve">Error envelope: { success: false, error: { code, message, details? } }</w:t>
      </w:r>
    </w:p>
    <w:p>
      <w:pPr>
        <w:pStyle w:val="ListParagraph"/>
        <w:numPr>
          <w:ilvl w:val="0"/>
          <w:numId w:val="1"/>
        </w:numPr>
        <w:spacing w:after="60"/>
      </w:pPr>
      <w:r>
        <w:rPr>
          <w:color w:val="1A1A2E"/>
          <w:sz w:val="21"/>
          <w:szCs w:val="21"/>
        </w:rPr>
        <w:t xml:space="preserve">Auth: Bearer JWT in the Authorization header; role and employee_id are claims on the token; RBAC middleware in backend/src/core/ declares the allowed roles per route.</w:t>
      </w:r>
    </w:p>
    <w:p>
      <w:pPr>
        <w:pStyle w:val="ListParagraph"/>
        <w:numPr>
          <w:ilvl w:val="0"/>
          <w:numId w:val="1"/>
        </w:numPr>
        <w:spacing w:after="60"/>
      </w:pPr>
      <w:r>
        <w:rPr>
          <w:color w:val="1A1A2E"/>
          <w:sz w:val="21"/>
          <w:szCs w:val="21"/>
        </w:rPr>
        <w:t xml:space="preserve">Any endpoint returning another module's data (e.g. Payslip returning Employee name) does so by read-only join/FK — never by duplicating or re-owning that data.</w:t>
      </w:r>
    </w:p>
    <w:p>
      <w:r>
        <w:br w:type="page"/>
      </w:r>
    </w:p>
    <w:p>
      <w:pPr>
        <w:pStyle w:val="Heading1"/>
        <w:spacing w:after="160" w:before="400"/>
      </w:pPr>
      <w:r>
        <w:t xml:space="preserve">12. Phase-Wise Development Plan</w:t>
      </w:r>
    </w:p>
    <w:p>
      <w:pPr>
        <w:spacing w:after="140"/>
      </w:pPr>
      <w:r>
        <w:rPr>
          <w:b w:val="false"/>
          <w:bCs w:val="false"/>
          <w:i w:val="false"/>
          <w:iCs w:val="false"/>
          <w:color w:val="1A1A2E"/>
          <w:sz w:val="21"/>
          <w:szCs w:val="21"/>
        </w:rPr>
        <w:t xml:space="preserve">Written against a 10-day build; compress or stretch the day ranges to your actual timeline — the sequencing and exit criteria are what matter.</w:t>
      </w:r>
    </w:p>
    <w:p>
      <w:pPr>
        <w:pStyle w:val="Heading2"/>
        <w:spacing w:after="120" w:before="260"/>
      </w:pPr>
      <w:r>
        <w:t xml:space="preserve">Phase 0 — Foundation (Day 0–1) — all four together</w:t>
      </w:r>
    </w:p>
    <w:p>
      <w:pPr>
        <w:pStyle w:val="ListParagraph"/>
        <w:numPr>
          <w:ilvl w:val="0"/>
          <w:numId w:val="1"/>
        </w:numPr>
        <w:spacing w:after="60"/>
      </w:pPr>
      <w:r>
        <w:rPr>
          <w:color w:val="1A1A2E"/>
          <w:sz w:val="21"/>
          <w:szCs w:val="21"/>
        </w:rPr>
        <w:t xml:space="preserve">Repo init, branch protection, CI skeleton.</w:t>
      </w:r>
    </w:p>
    <w:p>
      <w:pPr>
        <w:pStyle w:val="ListParagraph"/>
        <w:numPr>
          <w:ilvl w:val="0"/>
          <w:numId w:val="1"/>
        </w:numPr>
        <w:spacing w:after="60"/>
      </w:pPr>
      <w:r>
        <w:rPr>
          <w:color w:val="1A1A2E"/>
          <w:sz w:val="21"/>
          <w:szCs w:val="21"/>
        </w:rPr>
        <w:t xml:space="preserve">Agree tech stack, DB conventions, and the API contract stub (docs/api-contract.yaml).</w:t>
      </w:r>
    </w:p>
    <w:p>
      <w:pPr>
        <w:pStyle w:val="ListParagraph"/>
        <w:numPr>
          <w:ilvl w:val="0"/>
          <w:numId w:val="1"/>
        </w:numPr>
        <w:spacing w:after="60"/>
      </w:pPr>
      <w:r>
        <w:rPr>
          <w:color w:val="1A1A2E"/>
          <w:sz w:val="21"/>
          <w:szCs w:val="21"/>
        </w:rPr>
        <w:t xml:space="preserve">Dev D leads the design-token pass (Section 4); all four review.</w:t>
      </w:r>
    </w:p>
    <w:p>
      <w:pPr>
        <w:pStyle w:val="ListParagraph"/>
        <w:numPr>
          <w:ilvl w:val="0"/>
          <w:numId w:val="1"/>
        </w:numPr>
        <w:spacing w:after="60"/>
      </w:pPr>
      <w:r>
        <w:rPr>
          <w:color w:val="1A1A2E"/>
          <w:sz w:val="21"/>
          <w:szCs w:val="21"/>
        </w:rPr>
        <w:t xml:space="preserve">Dev D builds Shared UI Kit v0: Button, Input, Card, Badge, Table, Modal, Navbar.</w:t>
      </w:r>
    </w:p>
    <w:p>
      <w:pPr>
        <w:pStyle w:val="ListParagraph"/>
        <w:numPr>
          <w:ilvl w:val="0"/>
          <w:numId w:val="1"/>
        </w:numPr>
        <w:spacing w:after="60"/>
      </w:pPr>
      <w:r>
        <w:rPr>
          <w:color w:val="1A1A2E"/>
          <w:sz w:val="21"/>
          <w:szCs w:val="21"/>
        </w:rPr>
        <w:t xml:space="preserve">Dev A ships auth scaffold + RBAC middleware + role seed, and the base schema (users, roles, employees, departments, contracts, working_schedules) — reviewed by all.</w:t>
      </w:r>
    </w:p>
    <w:p>
      <w:pPr>
        <w:pStyle w:val="ListParagraph"/>
        <w:numPr>
          <w:ilvl w:val="0"/>
          <w:numId w:val="1"/>
        </w:numPr>
        <w:spacing w:after="60"/>
      </w:pPr>
      <w:r>
        <w:rPr>
          <w:color w:val="1A1A2E"/>
          <w:sz w:val="21"/>
          <w:szCs w:val="21"/>
        </w:rPr>
        <w:t xml:space="preserve">Exit criteria: everyone can run the app locally, log in as a seeded role, and see an empty shell of their own module route.</w:t>
      </w:r>
    </w:p>
    <w:p>
      <w:pPr>
        <w:spacing w:after="80"/>
      </w:pPr>
    </w:p>
    <w:p>
      <w:pPr>
        <w:pStyle w:val="Heading2"/>
        <w:spacing w:after="120" w:before="260"/>
      </w:pPr>
      <w:r>
        <w:t xml:space="preserve">Phase 1 — Parallel Core Build (Day 2–5)</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65"/>
        <w:gridCol w:w="9000"/>
      </w:tblGrid>
      <w:tr>
        <w:trPr>
          <w:tblHeader/>
        </w:trPr>
        <w:tc>
          <w:tcPr>
            <w:tcW w:type="dxa" w:w="146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Squad</w:t>
            </w:r>
          </w:p>
        </w:tc>
        <w:tc>
          <w:tcPr>
            <w:tcW w:type="dxa" w:w="9000"/>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Build</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900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 Kanban/List/Form + smart buttons; Contract CRUD with overlap validation; Working Schedule builder; Department CRUD</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900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 list/form + check-in/out widget + missing-checkout flag + audit trail; Time Off Type CRUD; Allocation CRUD with validity window; Time Off Request CRUD + approval + balance deduction + overlap prevention</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900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 Structure CRUD; Salary Rule engine (sequence, fixed/%/formula, category, cap); Payrun wizard (2-step); Payrun processing shell; Payslip computation table</w:t>
            </w:r>
          </w:p>
        </w:tc>
      </w:tr>
      <w:tr>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D</w:t>
            </w:r>
          </w:p>
        </w:tc>
        <w:tc>
          <w:tcPr>
            <w:tcW w:type="dxa" w:w="900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Dashboard shell with KPI cards &amp; charts (mocked → live later); Admin User Management screen; RBAC route guarding app-wide; seed data script; integration test harness</w:t>
            </w:r>
          </w:p>
        </w:tc>
      </w:tr>
    </w:tbl>
    <w:p>
      <w:pPr>
        <w:spacing w:after="100"/>
      </w:pPr>
    </w:p>
    <w:p>
      <w:pPr>
        <w:spacing w:after="140"/>
      </w:pPr>
      <w:r>
        <w:rPr>
          <w:b w:val="false"/>
          <w:bCs w:val="false"/>
          <w:i/>
          <w:iCs/>
          <w:color w:val="1A1A2E"/>
          <w:sz w:val="21"/>
          <w:szCs w:val="21"/>
        </w:rPr>
        <w:t xml:space="preserve">Exit criteria: each module is functionally usable in isolation, with mocked or partial cross-module data where needed.</w:t>
      </w:r>
    </w:p>
    <w:p>
      <w:pPr>
        <w:pStyle w:val="Heading2"/>
        <w:spacing w:after="120" w:before="260"/>
      </w:pPr>
      <w:r>
        <w:t xml:space="preserve">Phase 2 — Cross-Module Integration (Day 6–7)</w:t>
      </w:r>
    </w:p>
    <w:p>
      <w:pPr>
        <w:pStyle w:val="ListParagraph"/>
        <w:numPr>
          <w:ilvl w:val="0"/>
          <w:numId w:val="1"/>
        </w:numPr>
        <w:spacing w:after="60"/>
      </w:pPr>
      <w:r>
        <w:rPr>
          <w:color w:val="1A1A2E"/>
          <w:sz w:val="21"/>
          <w:szCs w:val="21"/>
        </w:rPr>
        <w:t xml:space="preserve">Dev C wires Attendance worked-days/overtime and Time Off paid/unpaid flags into Salary Rule computation (depends on Dev B), and the period→active-contract resolution (depends on Dev A).</w:t>
      </w:r>
    </w:p>
    <w:p>
      <w:pPr>
        <w:pStyle w:val="ListParagraph"/>
        <w:numPr>
          <w:ilvl w:val="0"/>
          <w:numId w:val="1"/>
        </w:numPr>
        <w:spacing w:after="60"/>
      </w:pPr>
      <w:r>
        <w:rPr>
          <w:color w:val="1A1A2E"/>
          <w:sz w:val="21"/>
          <w:szCs w:val="21"/>
        </w:rPr>
        <w:t xml:space="preserve">Dev D wires the Dashboard to real aggregated queries across Employee, Attendance, Time Off and Payroll data (depends on A, B, C).</w:t>
      </w:r>
    </w:p>
    <w:p>
      <w:pPr>
        <w:pStyle w:val="ListParagraph"/>
        <w:numPr>
          <w:ilvl w:val="0"/>
          <w:numId w:val="1"/>
        </w:numPr>
        <w:spacing w:after="60"/>
      </w:pPr>
      <w:r>
        <w:rPr>
          <w:color w:val="1A1A2E"/>
          <w:sz w:val="21"/>
          <w:szCs w:val="21"/>
        </w:rPr>
        <w:t xml:space="preserve">Dev A finalizes smart-button counts against real Attendance/Time-Off/Contract data.</w:t>
      </w:r>
    </w:p>
    <w:p>
      <w:pPr>
        <w:pStyle w:val="ListParagraph"/>
        <w:numPr>
          <w:ilvl w:val="0"/>
          <w:numId w:val="1"/>
        </w:numPr>
        <w:spacing w:after="60"/>
      </w:pPr>
      <w:r>
        <w:rPr>
          <w:color w:val="1A1A2E"/>
          <w:sz w:val="21"/>
          <w:szCs w:val="21"/>
        </w:rPr>
        <w:t xml:space="preserve">All four run the Amara Chen scenario (Section 14) end-to-end together.</w:t>
      </w:r>
    </w:p>
    <w:p>
      <w:pPr>
        <w:pStyle w:val="ListParagraph"/>
        <w:numPr>
          <w:ilvl w:val="0"/>
          <w:numId w:val="1"/>
        </w:numPr>
        <w:spacing w:after="60"/>
      </w:pPr>
      <w:r>
        <w:rPr>
          <w:color w:val="1A1A2E"/>
          <w:sz w:val="21"/>
          <w:szCs w:val="21"/>
        </w:rPr>
        <w:t xml:space="preserve">Exit criteria: one complete employee lifecycle — hire → promotion → leave → attendance fix → resignation → payslip → dashboard — runs cleanly.</w:t>
      </w:r>
    </w:p>
    <w:p>
      <w:pPr>
        <w:spacing w:after="80"/>
      </w:pPr>
    </w:p>
    <w:p>
      <w:pPr>
        <w:pStyle w:val="Heading2"/>
        <w:spacing w:after="120" w:before="260"/>
      </w:pPr>
      <w:r>
        <w:t xml:space="preserve">Phase 3 — Edge Cases, Validation &amp; Polish (Day 8–9)</w:t>
      </w:r>
    </w:p>
    <w:p>
      <w:pPr>
        <w:pStyle w:val="ListParagraph"/>
        <w:numPr>
          <w:ilvl w:val="0"/>
          <w:numId w:val="1"/>
        </w:numPr>
        <w:spacing w:after="60"/>
      </w:pPr>
      <w:r>
        <w:rPr>
          <w:color w:val="1A1A2E"/>
          <w:sz w:val="21"/>
          <w:szCs w:val="21"/>
        </w:rPr>
        <w:t xml:space="preserve">Each squad closes out its own rows in the Section 13 checklist.</w:t>
      </w:r>
    </w:p>
    <w:p>
      <w:pPr>
        <w:pStyle w:val="ListParagraph"/>
        <w:numPr>
          <w:ilvl w:val="0"/>
          <w:numId w:val="1"/>
        </w:numPr>
        <w:spacing w:after="60"/>
      </w:pPr>
      <w:r>
        <w:rPr>
          <w:color w:val="1A1A2E"/>
          <w:sz w:val="21"/>
          <w:szCs w:val="21"/>
        </w:rPr>
        <w:t xml:space="preserve">Dev D runs a full regression + design-system consistency pass (spacing/colour/radius, empty states, responsive checks).</w:t>
      </w:r>
    </w:p>
    <w:p>
      <w:pPr>
        <w:pStyle w:val="ListParagraph"/>
        <w:numPr>
          <w:ilvl w:val="0"/>
          <w:numId w:val="1"/>
        </w:numPr>
        <w:spacing w:after="60"/>
      </w:pPr>
      <w:r>
        <w:rPr>
          <w:color w:val="1A1A2E"/>
          <w:sz w:val="21"/>
          <w:szCs w:val="21"/>
        </w:rPr>
        <w:t xml:space="preserve">RBAC boundary testing: Employee data-scoping, HR Manager blocked from Payroll by direct URL, Payroll User read-only on Structures/Rules — all enforced server-side.</w:t>
      </w:r>
    </w:p>
    <w:p>
      <w:pPr>
        <w:pStyle w:val="ListParagraph"/>
        <w:numPr>
          <w:ilvl w:val="0"/>
          <w:numId w:val="1"/>
        </w:numPr>
        <w:spacing w:after="60"/>
      </w:pPr>
      <w:r>
        <w:rPr>
          <w:color w:val="1A1A2E"/>
          <w:sz w:val="21"/>
          <w:szCs w:val="21"/>
        </w:rPr>
        <w:t xml:space="preserve">Exit criteria: the Section 13 checklist is fully green; no open critical bugs.</w:t>
      </w:r>
    </w:p>
    <w:p>
      <w:pPr>
        <w:spacing w:after="80"/>
      </w:pPr>
    </w:p>
    <w:p>
      <w:pPr>
        <w:pStyle w:val="Heading2"/>
        <w:spacing w:after="120" w:before="260"/>
      </w:pPr>
      <w:r>
        <w:t xml:space="preserve">Phase 4 — Demo Prep &amp; Deployment (Day 10)</w:t>
      </w:r>
    </w:p>
    <w:p>
      <w:pPr>
        <w:pStyle w:val="ListParagraph"/>
        <w:numPr>
          <w:ilvl w:val="0"/>
          <w:numId w:val="1"/>
        </w:numPr>
        <w:spacing w:after="60"/>
      </w:pPr>
      <w:r>
        <w:rPr>
          <w:color w:val="1A1A2E"/>
          <w:sz w:val="21"/>
          <w:szCs w:val="21"/>
        </w:rPr>
        <w:t xml:space="preserve">Final seed-data refresh; deploy to the shared environment.</w:t>
      </w:r>
    </w:p>
    <w:p>
      <w:pPr>
        <w:pStyle w:val="ListParagraph"/>
        <w:numPr>
          <w:ilvl w:val="0"/>
          <w:numId w:val="1"/>
        </w:numPr>
        <w:spacing w:after="60"/>
      </w:pPr>
      <w:r>
        <w:rPr>
          <w:color w:val="1A1A2E"/>
          <w:sz w:val="21"/>
          <w:szCs w:val="21"/>
        </w:rPr>
        <w:t xml:space="preserve">Rehearse the 5-minute, two-scenario demo (Section 14).</w:t>
      </w:r>
    </w:p>
    <w:p>
      <w:pPr>
        <w:pStyle w:val="ListParagraph"/>
        <w:numPr>
          <w:ilvl w:val="0"/>
          <w:numId w:val="1"/>
        </w:numPr>
        <w:spacing w:after="60"/>
      </w:pPr>
      <w:r>
        <w:rPr>
          <w:color w:val="1A1A2E"/>
          <w:sz w:val="21"/>
          <w:szCs w:val="21"/>
        </w:rPr>
        <w:t xml:space="preserve">Finalize README and the future-roadmap note (brief's Deliverables section).</w:t>
      </w:r>
    </w:p>
    <w:p>
      <w:pPr>
        <w:pStyle w:val="ListParagraph"/>
        <w:numPr>
          <w:ilvl w:val="0"/>
          <w:numId w:val="1"/>
        </w:numPr>
        <w:spacing w:after="60"/>
      </w:pPr>
      <w:r>
        <w:rPr>
          <w:color w:val="1A1A2E"/>
          <w:sz w:val="21"/>
          <w:szCs w:val="21"/>
        </w:rPr>
        <w:t xml:space="preserve">Tag release v1.0.0.</w:t>
      </w:r>
    </w:p>
    <w:p>
      <w:pPr>
        <w:spacing w:after="80"/>
      </w:pPr>
    </w:p>
    <w:p>
      <w:r>
        <w:br w:type="page"/>
      </w:r>
    </w:p>
    <w:p>
      <w:pPr>
        <w:pStyle w:val="Heading1"/>
        <w:spacing w:after="160" w:before="400"/>
      </w:pPr>
      <w:r>
        <w:t xml:space="preserve">13. Edge-Case &amp; Validation Checklist</w:t>
      </w:r>
    </w:p>
    <w:p>
      <w:pPr>
        <w:spacing w:after="140"/>
      </w:pPr>
      <w:r>
        <w:rPr>
          <w:b w:val="false"/>
          <w:bCs w:val="false"/>
          <w:i w:val="false"/>
          <w:iCs w:val="false"/>
          <w:color w:val="1A1A2E"/>
          <w:sz w:val="21"/>
          <w:szCs w:val="21"/>
        </w:rPr>
        <w:t xml:space="preserve">Pulled directly from the walkthrough scenario. Each squad owns and signs off its own section before Phase 4.</w:t>
      </w:r>
    </w:p>
    <w:p>
      <w:pPr>
        <w:pStyle w:val="Heading3"/>
        <w:spacing w:after="100" w:before="200"/>
      </w:pPr>
      <w:r>
        <w:t xml:space="preserve">Dev A — Employee / Contract / Schedule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7"/>
        <w:gridCol w:w="3558"/>
        <w:gridCol w:w="6279"/>
      </w:tblGrid>
      <w:tr>
        <w:trPr>
          <w:tblHeader/>
        </w:trPr>
        <w:tc>
          <w:tcPr>
            <w:tcW w:type="dxa" w:w="627"/>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w:t>
            </w:r>
          </w:p>
        </w:tc>
        <w:tc>
          <w:tcPr>
            <w:tcW w:type="dxa" w:w="3558"/>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Edge Case</w:t>
            </w:r>
          </w:p>
        </w:tc>
        <w:tc>
          <w:tcPr>
            <w:tcW w:type="dxa" w:w="627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Expected Behaviour</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Overlapping active contracts</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Two contracts marked “active” for the same employee over overlapping dates must be blocked — a validation rule, not a UI nicety.</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Schedule defined at both Employee and Contract level</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Contract-level schedule overrides Employee-level, since it is period-specific.</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Schedule change mid-month</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 and Payroll must know which schedule applied on which days.</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4</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 with no active contract in the period</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Excluded from Payrun eligibility, or flagged with a warning if included by mistake.</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5</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Resignation mid-period</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 end date must correctly exclude the employee from the following period's Payrun.</w:t>
            </w:r>
          </w:p>
        </w:tc>
      </w:tr>
    </w:tbl>
    <w:p>
      <w:pPr>
        <w:spacing w:after="120"/>
      </w:pPr>
    </w:p>
    <w:p>
      <w:pPr>
        <w:pStyle w:val="Heading3"/>
        <w:spacing w:after="100" w:before="200"/>
      </w:pPr>
      <w:r>
        <w:t xml:space="preserve">Dev B — Attendance / Time Off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7"/>
        <w:gridCol w:w="3558"/>
        <w:gridCol w:w="6279"/>
      </w:tblGrid>
      <w:tr>
        <w:trPr>
          <w:tblHeader/>
        </w:trPr>
        <w:tc>
          <w:tcPr>
            <w:tcW w:type="dxa" w:w="627"/>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w:t>
            </w:r>
          </w:p>
        </w:tc>
        <w:tc>
          <w:tcPr>
            <w:tcW w:type="dxa" w:w="3558"/>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Edge Case</w:t>
            </w:r>
          </w:p>
        </w:tc>
        <w:tc>
          <w:tcPr>
            <w:tcW w:type="dxa" w:w="627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Expected Behaviour</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Missing check-out</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Shown as a flagged exception in the list — never a silent 0 or negative hours value.</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Manual attendance correction</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Must show it was edited, by whom, and preserve the original entry for audit.</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 vs. approved leave overlap</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Must reconcile into one truth for the day — never both “absent” and “on leave” at once.</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4</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Overtime</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Captured as a distinct value so the downstream Overtime salary rule can read it.</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5</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Insufficient leave balance</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Request is blocked or clearly flagged — balance must never go silently negative.</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6</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Overlapping leave requests</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Two requests covering the same dates cannot both be approved.</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7</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Allocation validity window</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Balance calculation accounts for expiry, not a blind subtraction.</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8</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Half-day / hour-unit requests</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Balance and payroll day-count reduce proportionally, not rounded to a whole day.</w:t>
            </w:r>
          </w:p>
        </w:tc>
      </w:tr>
    </w:tbl>
    <w:p>
      <w:pPr>
        <w:spacing w:after="120"/>
      </w:pPr>
    </w:p>
    <w:p>
      <w:pPr>
        <w:pStyle w:val="Heading3"/>
        <w:spacing w:after="100" w:before="200"/>
      </w:pPr>
      <w:r>
        <w:t xml:space="preserve">Dev C — Payroll Engine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7"/>
        <w:gridCol w:w="3558"/>
        <w:gridCol w:w="6279"/>
      </w:tblGrid>
      <w:tr>
        <w:trPr>
          <w:tblHeader/>
        </w:trPr>
        <w:tc>
          <w:tcPr>
            <w:tcW w:type="dxa" w:w="627"/>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w:t>
            </w:r>
          </w:p>
        </w:tc>
        <w:tc>
          <w:tcPr>
            <w:tcW w:type="dxa" w:w="3558"/>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Edge Case</w:t>
            </w:r>
          </w:p>
        </w:tc>
        <w:tc>
          <w:tcPr>
            <w:tcW w:type="dxa" w:w="627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Expected Behaviour</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Mid-period hire proration</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Prorated Basic must flow into every downstream rule (HRA, Gross, PF, Net), not just the Basic line.</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Capped contribution rule</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Formula engine supports min(percentage_result, cap), e.g. PF capped at a fixed ceiling.</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Negative net salary</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Never silently allowed — raises a validation warning for review before the Payrun can be validated.</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4</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Conditional rules</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 rule (e.g. Supervisor Allowance) can be gated by job position / contract type, not just its formula.</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5</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Period spanning a contract switch</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Simplification: whichever contract is active on the last day of the period governs the whole period — state this openly in the demo.</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6</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Paid vs. unpaid leave</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Paid leave does not reduce Basic; unpaid leave does — rules must read Time Off data, not just Attendance.</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7</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Missing bank details</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Surfaced as a Payrun warning before validation, not a silent failure at payment time.</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8</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Duplicate Payrun / Payslip</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Detected and flagged, never silently double-processed.</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9</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Missing/invalid employee email on bulk send</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Reported per-recipient — never silently skipped.</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10</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Rounding</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One consistent rule (2 decimals, standard rounding) so Gross/Net reconciles against the sum of its parts.</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11</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Resending a corrected payslip</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Updates/versions the existing record — never creates a duplicate for the same period.</w:t>
            </w:r>
          </w:p>
        </w:tc>
      </w:tr>
    </w:tbl>
    <w:p>
      <w:pPr>
        <w:spacing w:after="120"/>
      </w:pPr>
    </w:p>
    <w:p>
      <w:pPr>
        <w:pStyle w:val="Heading3"/>
        <w:spacing w:after="100" w:before="200"/>
      </w:pPr>
      <w:r>
        <w:t xml:space="preserve">Dev D — Dashboard / Platform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7"/>
        <w:gridCol w:w="3558"/>
        <w:gridCol w:w="6279"/>
      </w:tblGrid>
      <w:tr>
        <w:trPr>
          <w:tblHeader/>
        </w:trPr>
        <w:tc>
          <w:tcPr>
            <w:tcW w:type="dxa" w:w="627"/>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w:t>
            </w:r>
          </w:p>
        </w:tc>
        <w:tc>
          <w:tcPr>
            <w:tcW w:type="dxa" w:w="3558"/>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Edge Case</w:t>
            </w:r>
          </w:p>
        </w:tc>
        <w:tc>
          <w:tcPr>
            <w:tcW w:type="dxa" w:w="6279"/>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Expected Behaviour</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1</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Live data only</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Dashboard must reflect current system records, never a cached snapshot or hardcoded value.</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2</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Proactive alerts</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e.g. “3 employees missing bank details,” “duplicate payslip detected” — surfaced before someone stumbles onto them mid-Payrun.</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3</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Sparse filter combinations</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Period + Department + Employee Type with zero results shows a clear empty state, never an error.</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4</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 data scoping</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 plain Employee can never fetch another employee's attendance, leave balance or salary — enforced at the API/query level.</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5</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HR Manager → Payroll boundary</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Blocked from opening any Payroll screen, even by direct URL.</w:t>
            </w:r>
          </w:p>
        </w:tc>
      </w:tr>
      <w:tr>
        <w:tc>
          <w:tcPr>
            <w:tcW w:type="dxa" w:w="627"/>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6</w:t>
            </w:r>
          </w:p>
        </w:tc>
        <w:tc>
          <w:tcPr>
            <w:tcW w:type="dxa" w:w="3558"/>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HR Payroll User → Rule engine boundary</w:t>
            </w:r>
          </w:p>
        </w:tc>
        <w:tc>
          <w:tcPr>
            <w:tcW w:type="dxa" w:w="6279"/>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Can view Salary Structures/Rules but cannot edit them — enforced server-side, easy to leave open if untested.</w:t>
            </w:r>
          </w:p>
        </w:tc>
      </w:tr>
    </w:tbl>
    <w:p>
      <w:pPr>
        <w:spacing w:after="120"/>
      </w:pPr>
    </w:p>
    <w:p>
      <w:r>
        <w:br w:type="page"/>
      </w:r>
    </w:p>
    <w:p>
      <w:pPr>
        <w:pStyle w:val="Heading1"/>
        <w:spacing w:after="160" w:before="400"/>
      </w:pPr>
      <w:r>
        <w:t xml:space="preserve">14. Demo Script — the Amara Chen Scenario</w:t>
      </w:r>
    </w:p>
    <w:p>
      <w:pPr>
        <w:spacing w:after="140"/>
      </w:pPr>
      <w:r>
        <w:rPr>
          <w:b w:val="false"/>
          <w:bCs w:val="false"/>
          <w:i w:val="false"/>
          <w:iCs w:val="false"/>
          <w:color w:val="1A1A2E"/>
          <w:sz w:val="21"/>
          <w:szCs w:val="21"/>
        </w:rPr>
        <w:t xml:space="preserve">One continuous story that exercises nearly every “must handle” item in the brief. Recommended as the 5-minute live-demo narrative, run across all four squads' work in sequence.</w:t>
      </w:r>
    </w:p>
    <w:p>
      <w:pPr>
        <w:pStyle w:val="ListParagraph"/>
        <w:numPr>
          <w:ilvl w:val="0"/>
          <w:numId w:val="1"/>
        </w:numPr>
        <w:spacing w:after="60"/>
      </w:pPr>
      <w:r>
        <w:rPr>
          <w:color w:val="1A1A2E"/>
          <w:sz w:val="21"/>
          <w:szCs w:val="21"/>
        </w:rPr>
        <w:t xml:space="preserve">Hire (Jan 15) — Employee + first Contract created, Sales Associate wage. [Dev A]</w:t>
      </w:r>
    </w:p>
    <w:p>
      <w:pPr>
        <w:pStyle w:val="ListParagraph"/>
        <w:numPr>
          <w:ilvl w:val="0"/>
          <w:numId w:val="1"/>
        </w:numPr>
        <w:spacing w:after="60"/>
      </w:pPr>
      <w:r>
        <w:rPr>
          <w:color w:val="1A1A2E"/>
          <w:sz w:val="21"/>
          <w:szCs w:val="21"/>
        </w:rPr>
        <w:t xml:space="preserve">Working schedule assigned; standard 5-day/40-hour pattern, auto-computed. [Dev A]</w:t>
      </w:r>
    </w:p>
    <w:p>
      <w:pPr>
        <w:pStyle w:val="ListParagraph"/>
        <w:numPr>
          <w:ilvl w:val="0"/>
          <w:numId w:val="1"/>
        </w:numPr>
        <w:spacing w:after="60"/>
      </w:pPr>
      <w:r>
        <w:rPr>
          <w:color w:val="1A1A2E"/>
          <w:sz w:val="21"/>
          <w:szCs w:val="21"/>
        </w:rPr>
        <w:t xml:space="preserve">Promotion (Jun 1) — new Contract as Store Supervisor; old contract ends same day; overlap validation proven. [Dev A]</w:t>
      </w:r>
    </w:p>
    <w:p>
      <w:pPr>
        <w:pStyle w:val="ListParagraph"/>
        <w:numPr>
          <w:ilvl w:val="0"/>
          <w:numId w:val="1"/>
        </w:numPr>
        <w:spacing w:after="60"/>
      </w:pPr>
      <w:r>
        <w:rPr>
          <w:color w:val="1A1A2E"/>
          <w:sz w:val="21"/>
          <w:szCs w:val="21"/>
        </w:rPr>
        <w:t xml:space="preserve">Day-to-day attendance, including one missing check-out flagged as an exception and later manually corrected with an audit trail. [Dev B]</w:t>
      </w:r>
    </w:p>
    <w:p>
      <w:pPr>
        <w:pStyle w:val="ListParagraph"/>
        <w:numPr>
          <w:ilvl w:val="0"/>
          <w:numId w:val="1"/>
        </w:numPr>
        <w:spacing w:after="60"/>
      </w:pPr>
      <w:r>
        <w:rPr>
          <w:color w:val="1A1A2E"/>
          <w:sz w:val="21"/>
          <w:szCs w:val="21"/>
        </w:rPr>
        <w:t xml:space="preserve">Parental leave request (Sep) against a paid Time Off Type; balance deducted from Allocation on approval. [Dev B]</w:t>
      </w:r>
    </w:p>
    <w:p>
      <w:pPr>
        <w:pStyle w:val="ListParagraph"/>
        <w:numPr>
          <w:ilvl w:val="0"/>
          <w:numId w:val="1"/>
        </w:numPr>
        <w:spacing w:after="60"/>
      </w:pPr>
      <w:r>
        <w:rPr>
          <w:color w:val="1A1A2E"/>
          <w:sz w:val="21"/>
          <w:szCs w:val="21"/>
        </w:rPr>
        <w:t xml:space="preserve">Payrun for the affected periods: January prorates the mid-month hire; June resolves via the “last-day-of-period” contract rule; September's paid leave doesn't reduce Basic. [Dev C]</w:t>
      </w:r>
    </w:p>
    <w:p>
      <w:pPr>
        <w:pStyle w:val="ListParagraph"/>
        <w:numPr>
          <w:ilvl w:val="0"/>
          <w:numId w:val="1"/>
        </w:numPr>
        <w:spacing w:after="60"/>
      </w:pPr>
      <w:r>
        <w:rPr>
          <w:color w:val="1A1A2E"/>
          <w:sz w:val="21"/>
          <w:szCs w:val="21"/>
        </w:rPr>
        <w:t xml:space="preserve">Resignation (Nov 20) — November payslip prorates to the 20th; December Payrun correctly excludes her. [Dev C]</w:t>
      </w:r>
    </w:p>
    <w:p>
      <w:pPr>
        <w:pStyle w:val="ListParagraph"/>
        <w:numPr>
          <w:ilvl w:val="0"/>
          <w:numId w:val="1"/>
        </w:numPr>
        <w:spacing w:after="60"/>
      </w:pPr>
      <w:r>
        <w:rPr>
          <w:color w:val="1A1A2E"/>
          <w:sz w:val="21"/>
          <w:szCs w:val="21"/>
        </w:rPr>
        <w:t xml:space="preserve">Payslip PDF generated and emailed; Payroll Dashboard reflects the whole story live — headcount, salary cost, attendance health, and any warnings raised along the way. [Dev C + Dev D]</w:t>
      </w:r>
    </w:p>
    <w:p>
      <w:r>
        <w:br w:type="page"/>
      </w:r>
    </w:p>
    <w:p>
      <w:pPr>
        <w:pStyle w:val="Heading1"/>
        <w:spacing w:after="160" w:before="400"/>
      </w:pPr>
      <w:r>
        <w:t xml:space="preserve">15. Risks, Mitigations &amp; Communication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2302"/>
        <w:gridCol w:w="5651"/>
      </w:tblGrid>
      <w:tr>
        <w:trPr>
          <w:tblHeader/>
        </w:trPr>
        <w:tc>
          <w:tcPr>
            <w:tcW w:type="dxa" w:w="251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Risk</w:t>
            </w:r>
          </w:p>
        </w:tc>
        <w:tc>
          <w:tcPr>
            <w:tcW w:type="dxa" w:w="2302"/>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Impact</w:t>
            </w:r>
          </w:p>
        </w:tc>
        <w:tc>
          <w:tcPr>
            <w:tcW w:type="dxa" w:w="5651"/>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Mitigation</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Schema drift across devs' local setups</w:t>
            </w:r>
          </w:p>
        </w:tc>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Broken FKs, failed migrations</w:t>
            </w:r>
          </w:p>
        </w:tc>
        <w:tc>
          <w:tcPr>
            <w:tcW w:type="dxa" w:w="565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One shared Postgres instance + ordered migration runner + CI migration dry-run on every PR</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Rule-engine complexity underestimated</w:t>
            </w:r>
          </w:p>
        </w:tc>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Late Payslip feature</w:t>
            </w:r>
          </w:p>
        </w:tc>
        <w:tc>
          <w:tcPr>
            <w:tcW w:type="dxa" w:w="565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 starts a rule-engine stub in Phase 0, in parallel with everyone else's setup work</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Cross-module surprises found late</w:t>
            </w:r>
          </w:p>
        </w:tc>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Demo failure risk</w:t>
            </w:r>
          </w:p>
        </w:tc>
        <w:tc>
          <w:tcPr>
            <w:tcW w:type="dxa" w:w="565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Mandatory Phase 2 integration checkpoint before the polish phase begins</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Design inconsistency across 4 devs' screens</w:t>
            </w:r>
          </w:p>
        </w:tc>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Unprofessional / inconsistent UI</w:t>
            </w:r>
          </w:p>
        </w:tc>
        <w:tc>
          <w:tcPr>
            <w:tcW w:type="dxa" w:w="565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Shared component library is mandatory; Dev D design-reviews every feature before Phase 4</w:t>
            </w:r>
          </w:p>
        </w:tc>
      </w:tr>
      <w:tr>
        <w:tc>
          <w:tcPr>
            <w:tcW w:type="dxa" w:w="251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Merge conflicts in shared files</w:t>
            </w:r>
          </w:p>
        </w:tc>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Lost time, blocked squads</w:t>
            </w:r>
          </w:p>
        </w:tc>
        <w:tc>
          <w:tcPr>
            <w:tcW w:type="dxa" w:w="5651"/>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Ownership rules + auto-discovery route loaders (Section 10)</w:t>
            </w:r>
          </w:p>
        </w:tc>
      </w:tr>
    </w:tbl>
    <w:p>
      <w:pPr>
        <w:spacing w:after="140"/>
      </w:pPr>
    </w:p>
    <w:p>
      <w:pPr>
        <w:pStyle w:val="Heading2"/>
        <w:spacing w:after="120" w:before="260"/>
      </w:pPr>
      <w:r>
        <w:t xml:space="preserve">15.1 Communication Cadence</w:t>
      </w:r>
    </w:p>
    <w:p>
      <w:pPr>
        <w:pStyle w:val="ListParagraph"/>
        <w:numPr>
          <w:ilvl w:val="0"/>
          <w:numId w:val="1"/>
        </w:numPr>
        <w:spacing w:after="60"/>
      </w:pPr>
      <w:r>
        <w:rPr>
          <w:color w:val="1A1A2E"/>
          <w:sz w:val="21"/>
          <w:szCs w:val="21"/>
        </w:rPr>
        <w:t xml:space="preserve">Daily 15-minute standup — blockers and any planned schema change called out explicitly.</w:t>
      </w:r>
    </w:p>
    <w:p>
      <w:pPr>
        <w:pStyle w:val="ListParagraph"/>
        <w:numPr>
          <w:ilvl w:val="0"/>
          <w:numId w:val="1"/>
        </w:numPr>
        <w:spacing w:after="60"/>
      </w:pPr>
      <w:r>
        <w:rPr>
          <w:color w:val="1A1A2E"/>
          <w:sz w:val="21"/>
          <w:szCs w:val="21"/>
        </w:rPr>
        <w:t xml:space="preserve">End-of-day merge from every feature branch into develop.</w:t>
      </w:r>
    </w:p>
    <w:p>
      <w:pPr>
        <w:pStyle w:val="ListParagraph"/>
        <w:numPr>
          <w:ilvl w:val="0"/>
          <w:numId w:val="1"/>
        </w:numPr>
        <w:spacing w:after="60"/>
      </w:pPr>
      <w:r>
        <w:rPr>
          <w:color w:val="1A1A2E"/>
          <w:sz w:val="21"/>
          <w:szCs w:val="21"/>
        </w:rPr>
        <w:t xml:space="preserve">Dev D runs a nightly smoke test against develop and reports failures the next morning.</w:t>
      </w:r>
    </w:p>
    <w:p>
      <w:pPr>
        <w:pStyle w:val="ListParagraph"/>
        <w:numPr>
          <w:ilvl w:val="0"/>
          <w:numId w:val="1"/>
        </w:numPr>
        <w:spacing w:after="60"/>
      </w:pPr>
      <w:r>
        <w:rPr>
          <w:color w:val="1A1A2E"/>
          <w:sz w:val="21"/>
          <w:szCs w:val="21"/>
        </w:rPr>
        <w:t xml:space="preserve">Any change to docs/api-contract.yaml or a shared table is announced in the team channel before the PR is opened.</w:t>
      </w:r>
    </w:p>
    <w:p>
      <w:r>
        <w:br w:type="page"/>
      </w:r>
    </w:p>
    <w:p>
      <w:pPr>
        <w:pStyle w:val="Heading1"/>
        <w:spacing w:after="160" w:before="400"/>
      </w:pPr>
      <w:r>
        <w:t xml:space="preserve">Appendix A — Reference Documentation</w:t>
      </w:r>
    </w:p>
    <w:p>
      <w:pPr>
        <w:spacing w:after="140"/>
      </w:pPr>
      <w:r>
        <w:rPr>
          <w:b w:val="false"/>
          <w:bCs w:val="false"/>
          <w:i w:val="false"/>
          <w:iCs w:val="false"/>
          <w:color w:val="1A1A2E"/>
          <w:sz w:val="21"/>
          <w:szCs w:val="21"/>
        </w:rPr>
        <w:t xml:space="preserve">Curated reference reading, mapped to owning squad (Odoo's own documentation, used only as a conceptual reference for this custom build).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930"/>
        <w:gridCol w:w="1465"/>
        <w:gridCol w:w="6070"/>
      </w:tblGrid>
      <w:tr>
        <w:trPr>
          <w:tblHeader/>
        </w:trPr>
        <w:tc>
          <w:tcPr>
            <w:tcW w:type="dxa" w:w="2930"/>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Area</w:t>
            </w:r>
          </w:p>
        </w:tc>
        <w:tc>
          <w:tcPr>
            <w:tcW w:type="dxa" w:w="1465"/>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Owner</w:t>
            </w:r>
          </w:p>
        </w:tc>
        <w:tc>
          <w:tcPr>
            <w:tcW w:type="dxa" w:w="6070"/>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Reference</w:t>
            </w:r>
          </w:p>
        </w:tc>
      </w:tr>
      <w:tr>
        <w:tc>
          <w:tcPr>
            <w:tcW w:type="dxa" w:w="293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 master, Departments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Employees overview; New employees; Departments</w:t>
            </w:r>
          </w:p>
        </w:tc>
      </w:tr>
      <w:tr>
        <w:tc>
          <w:tcPr>
            <w:tcW w:type="dxa" w:w="293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Contracts, Working Schedules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A</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Contracts; Working schedules</w:t>
            </w:r>
          </w:p>
        </w:tc>
      </w:tr>
      <w:tr>
        <w:tc>
          <w:tcPr>
            <w:tcW w:type="dxa" w:w="293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Attendances overview; Check in/out; Attendance logs; Work approvals &amp; overtime; Attendance reporting</w:t>
            </w:r>
          </w:p>
        </w:tc>
      </w:tr>
      <w:tr>
        <w:tc>
          <w:tcPr>
            <w:tcW w:type="dxa" w:w="293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 Off</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B</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Time off overview; Time off types; Allocations; Request time off; Management (approve/refuse); Reporting</w:t>
            </w:r>
          </w:p>
        </w:tc>
      </w:tr>
      <w:tr>
        <w:tc>
          <w:tcPr>
            <w:tcW w:type="dxa" w:w="293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 Structure &amp; Rules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Salaries (Structure Types, Structures, Rules, condition/amount types); Work entries</w:t>
            </w:r>
          </w:p>
        </w:tc>
      </w:tr>
      <w:tr>
        <w:tc>
          <w:tcPr>
            <w:tcW w:type="dxa" w:w="293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Payrun &amp; Payslip processing</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C</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Payroll overview; Pay runs; Payslips; Time off to report</w:t>
            </w:r>
          </w:p>
        </w:tc>
      </w:tr>
      <w:tr>
        <w:tc>
          <w:tcPr>
            <w:tcW w:type="dxa" w:w="293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Dashboard &amp; reporting</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D</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Payroll analysis; Headcount report; Work entry analysis</w:t>
            </w:r>
          </w:p>
        </w:tc>
      </w:tr>
      <w:tr>
        <w:tc>
          <w:tcPr>
            <w:tcW w:type="dxa" w:w="293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Role-based access</w:t>
            </w:r>
          </w:p>
        </w:tc>
        <w:tc>
          <w:tcPr>
            <w:tcW w:type="dxa" w:w="1465"/>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Dev D</w:t>
            </w:r>
          </w:p>
        </w:tc>
        <w:tc>
          <w:tcPr>
            <w:tcW w:type="dxa" w:w="6070"/>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Access rights — reference model for scoping CRUD per role</w:t>
            </w:r>
          </w:p>
        </w:tc>
      </w:tr>
    </w:tbl>
    <w:p>
      <w:r>
        <w:br w:type="page"/>
      </w:r>
    </w:p>
    <w:p>
      <w:pPr>
        <w:pStyle w:val="Heading1"/>
        <w:spacing w:after="160" w:before="400"/>
      </w:pPr>
      <w:r>
        <w:t xml:space="preserve">Appendix B — Glossary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2"/>
        <w:gridCol w:w="8163"/>
      </w:tblGrid>
      <w:tr>
        <w:trPr>
          <w:tblHeader/>
        </w:trPr>
        <w:tc>
          <w:tcPr>
            <w:tcW w:type="dxa" w:w="2302"/>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Term</w:t>
            </w:r>
          </w:p>
        </w:tc>
        <w:tc>
          <w:tcPr>
            <w:tcW w:type="dxa" w:w="8163"/>
            <w:tcBorders>
              <w:top w:val="single" w:color="D8D8E2" w:sz="2"/>
              <w:left w:val="single" w:color="D8D8E2" w:sz="2"/>
              <w:bottom w:val="single" w:color="D8D8E2" w:sz="2"/>
              <w:right w:val="single" w:color="D8D8E2" w:sz="2"/>
            </w:tcBorders>
            <w:shd w:fill="14141F" w:color="auto" w:val="clear"/>
            <w:tcMar>
              <w:top w:type="dxa" w:w="90"/>
              <w:left w:type="dxa" w:w="110"/>
              <w:bottom w:type="dxa" w:w="90"/>
              <w:right w:type="dxa" w:w="110"/>
            </w:tcMar>
            <w:vAlign w:val="center"/>
          </w:tcPr>
          <w:p>
            <w:pPr>
              <w:spacing w:after="0"/>
            </w:pPr>
            <w:r>
              <w:rPr>
                <w:b/>
                <w:bCs/>
                <w:color w:val="FFFFFF"/>
                <w:sz w:val="18"/>
                <w:szCs w:val="18"/>
              </w:rPr>
              <w:t xml:space="preserve">Definition</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Payrun</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 payroll batch: a chosen Salary Structure + Period + set of eligible employees, processed together.</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Payslip</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The computed result for one employee for one period within a Payrun — shows the full rule breakdown.</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 Structure</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 named, ordered container of Salary Rules (e.g. “Regular Salary”).</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Salary Rule</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One computed line item (Basic, HRA, PF, etc.) with a category, sequence and computation method.</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Allocation</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An approved leave balance for one employee/Time-Off-Type, with allocated/taken/remaining and a validity window.</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Working Schedule</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 reusable weekly pattern (days, hours, breaks) assignable to an Employee or a Contract.</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Smart Button</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A small stat button on a Form view (e.g. “Contracts 2”) that both shows a count and navigates to the filtered related list.</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RBAC</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Role-Based Access Control — permissions enforced by the five roles in Section 2, at the API/query layer.</w:t>
            </w:r>
          </w:p>
        </w:tc>
      </w:tr>
      <w:tr>
        <w:tc>
          <w:tcPr>
            <w:tcW w:type="dxa" w:w="2302"/>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Proration</w:t>
            </w:r>
          </w:p>
        </w:tc>
        <w:tc>
          <w:tcPr>
            <w:tcW w:type="dxa" w:w="8163"/>
            <w:tcBorders>
              <w:top w:val="single" w:color="D8D8E2" w:sz="2"/>
              <w:left w:val="single" w:color="D8D8E2" w:sz="2"/>
              <w:bottom w:val="single" w:color="D8D8E2" w:sz="2"/>
              <w:right w:val="single" w:color="D8D8E2" w:sz="2"/>
            </w:tcBorders>
            <w:tcMar>
              <w:top w:type="dxa" w:w="90"/>
              <w:left w:type="dxa" w:w="110"/>
              <w:bottom w:type="dxa" w:w="90"/>
              <w:right w:type="dxa" w:w="110"/>
            </w:tcMar>
            <w:vAlign w:val="center"/>
          </w:tcPr>
          <w:p>
            <w:pPr>
              <w:spacing w:after="0"/>
            </w:pPr>
            <w:r>
              <w:rPr>
                <w:b w:val="false"/>
                <w:bCs w:val="false"/>
                <w:color w:val="1A1A2E"/>
                <w:sz w:val="18"/>
                <w:szCs w:val="18"/>
              </w:rPr>
              <w:t xml:space="preserve">Scaling a salary component (typically Basic) for a partial period, e.g. a mid-month hire or resignation.</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PeoplePay360 — Engineering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4FE9" w:sz="6" w:space="4"/>
      </w:pBdr>
      <w:spacing w:after="150" w:before="300"/>
    </w:pPr>
    <w:rPr>
      <w:rFonts w:ascii="Calibri" w:cs="Calibri" w:eastAsia="Calibri" w:hAnsi="Calibri"/>
      <w:b/>
      <w:bCs/>
      <w:color w:val="3F35A8"/>
      <w:sz w:val="30"/>
      <w:szCs w:val="30"/>
    </w:rPr>
  </w:style>
  <w:style w:type="paragraph" w:styleId="Heading2">
    <w:name w:val="Heading 2"/>
    <w:basedOn w:val="Normal"/>
    <w:next w:val="Normal"/>
    <w:qFormat/>
    <w:pPr>
      <w:spacing w:after="100" w:before="220"/>
    </w:pPr>
    <w:rPr>
      <w:rFonts w:ascii="Calibri" w:cs="Calibri" w:eastAsia="Calibri" w:hAnsi="Calibri"/>
      <w:b/>
      <w:bCs/>
      <w:color w:val="1A1A2E"/>
      <w:sz w:val="24"/>
      <w:szCs w:val="24"/>
    </w:rPr>
  </w:style>
  <w:style w:type="paragraph" w:styleId="Heading3">
    <w:name w:val="Heading 3"/>
    <w:basedOn w:val="Normal"/>
    <w:next w:val="Normal"/>
    <w:qFormat/>
    <w:pPr>
      <w:spacing w:after="90" w:before="180"/>
    </w:pPr>
    <w:rPr>
      <w:rFonts w:ascii="Calibri" w:cs="Calibri" w:eastAsia="Calibri" w:hAnsi="Calibri"/>
      <w:b/>
      <w:bCs/>
      <w:color w:val="5B4FE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303b3b83459c4cd36011849632839fad7770b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2026-09-05T05:17:24.335Z</dcterms:created>
  <dcterms:modified xsi:type="dcterms:W3CDTF">2026-09-05T05:17:24.335Z</dcterms:modified>
</cp:coreProperties>
</file>

<file path=docProps/custom.xml><?xml version="1.0" encoding="utf-8"?>
<Properties xmlns="http://schemas.openxmlformats.org/officeDocument/2006/custom-properties" xmlns:vt="http://schemas.openxmlformats.org/officeDocument/2006/docPropsVTypes"/>
</file>