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366"/>
          <w:sz w:val="48"/>
        </w:rPr>
        <w:t>Freight DSS | SIH26006</w:t>
      </w:r>
    </w:p>
    <w:p>
      <w:pPr>
        <w:spacing w:after="160"/>
        <w:jc w:val="center"/>
      </w:pPr>
      <w:r>
        <w:rPr>
          <w:rFonts w:ascii="Calibri" w:hAnsi="Calibri"/>
          <w:i/>
          <w:color w:val="1E5A96"/>
          <w:sz w:val="26"/>
        </w:rPr>
        <w:t>End-to-End System Architecture &amp; Enterprise Technical Specification</w:t>
      </w:r>
    </w:p>
    <w:p>
      <w:pPr>
        <w:spacing w:after="360"/>
        <w:jc w:val="center"/>
      </w:pPr>
      <w:r>
        <w:rPr>
          <w:rFonts w:ascii="Calibri" w:hAnsi="Calibri"/>
          <w:b/>
          <w:color w:val="323232"/>
          <w:sz w:val="19"/>
        </w:rPr>
        <w:t>Ministry of Steel (Government of India) | System: Full-Stack Decision Support System (DSS) | Stack: Next.js 14 | FastAPI | Neon PostgreSQL | LightGBM | Prophet | PuLP MILP | Document Version: 2.0.0 Production Release</w:t>
      </w:r>
    </w:p>
    <w:p>
      <w:pPr>
        <w:spacing w:after="240"/>
        <w:pBdr>
          <w:bottom w:val="single" w:sz="12" w:space="1" w:color="003366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2"/>
              </w:rPr>
              <w:t>📌 EXECUTIVE ARCHITECTURAL SUMMARY</w:t>
              <w:br/>
            </w:r>
            <w:r>
              <w:rPr>
                <w:rFonts w:ascii="Calibri" w:hAnsi="Calibri"/>
                <w:color w:val="323232"/>
                <w:sz w:val="20"/>
              </w:rPr>
              <w:t>Freight DSS is engineered as a decoupled, zero-downtime Decision Support System that unifies 25 years of global maritime market telemetry with operations research algorithms. This document details all 6 architectural layers, database schemas, REST APIs, machine learning pipelines, and the complete mathematical formulation of the MILP solver.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1. High-Level Architectural Topology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The system follows a six-tier modular design separating data ingestion, persistent storage, asynchronous backend services, hybrid predictive modeling, operations research optimization, and reactive client presentation: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Layer 1: External Telemetry &amp; Ingestion: </w:t>
      </w:r>
      <w:r>
        <w:rPr>
          <w:rFonts w:ascii="Calibri" w:hAnsi="Calibri"/>
          <w:color w:val="323232"/>
          <w:sz w:val="21"/>
        </w:rPr>
        <w:t>Ingests 25-year Kaggle historical Baltic Dry Index datasets, live Yahoo Finance market feeds (Brent Crude, USD/INR), and Indian major port operational telemetry.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Layer 2: Storage &amp; Persistence: </w:t>
      </w:r>
      <w:r>
        <w:rPr>
          <w:rFonts w:ascii="Calibri" w:hAnsi="Calibri"/>
          <w:color w:val="323232"/>
          <w:sz w:val="21"/>
        </w:rPr>
        <w:t>Serverless PostgreSQL on Neon DB with connection pooling and time-series tables, paired with an automatic zero-downtime SQLite fallback for local development.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Layer 3: Asynchronous Backend API: </w:t>
      </w:r>
      <w:r>
        <w:rPr>
          <w:rFonts w:ascii="Calibri" w:hAnsi="Calibri"/>
          <w:color w:val="323232"/>
          <w:sz w:val="21"/>
        </w:rPr>
        <w:t>High-throughput FastAPI service running under Uvicorn ASGI with strict Pydantic V2 schemas, dynamic Render PORT binding, and bulletproof CORS preflight handling.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Layer 4: Hybrid Machine Learning Engine: </w:t>
      </w:r>
      <w:r>
        <w:rPr>
          <w:rFonts w:ascii="Calibri" w:hAnsi="Calibri"/>
          <w:color w:val="323232"/>
          <w:sz w:val="21"/>
        </w:rPr>
        <w:t>Two-tier forecasting architecture combining LightGBM (1-15 day non-linear volatility) with Facebook Prophet (16-60 day quarterly seasonal trend) and 80% statistical confidence bands.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Layer 5: Operations Research MILP Solver: </w:t>
      </w:r>
      <w:r>
        <w:rPr>
          <w:rFonts w:ascii="Calibri" w:hAnsi="Calibri"/>
          <w:color w:val="323232"/>
          <w:sz w:val="21"/>
        </w:rPr>
        <w:t>PuLP Branch-and-Cut CBC optimizer that minimizes Total Landed Logistics Cost (Voyage Freight + Demurrage Penalties) while strictly enforcing channel draft limits and berth constraints.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Layer 6: Enterprise Command Center UI: </w:t>
      </w:r>
      <w:r>
        <w:rPr>
          <w:rFonts w:ascii="Calibri" w:hAnsi="Calibri"/>
          <w:color w:val="323232"/>
          <w:sz w:val="21"/>
        </w:rPr>
        <w:t>Next.js 14 App Router dashboard built in TypeScript and Tailwind CSS, providing dual-currency visualization (USD $ &amp; INR ₹ Crores) and disruption stress-testing controls.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2. Detailed Layer Specifications</w:t>
      </w:r>
    </w:p>
    <w:p>
      <w:pPr>
        <w:keepNext/>
        <w:spacing w:before="240" w:after="80"/>
      </w:pPr>
      <w:r>
        <w:rPr>
          <w:rFonts w:ascii="Calibri" w:hAnsi="Calibri"/>
          <w:b/>
          <w:color w:val="1E5A96"/>
          <w:sz w:val="26"/>
        </w:rPr>
        <w:t>Layer 1: Data Ingestion Pipeline (ml_engine/data_pipeline/)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Kaggle 25-Year Dataset: </w:t>
      </w:r>
      <w:r>
        <w:rPr>
          <w:rFonts w:ascii="Calibri" w:hAnsi="Calibri"/>
          <w:color w:val="323232"/>
          <w:sz w:val="21"/>
        </w:rPr>
        <w:t>ml_engine/data_pipeline/raw_data/shipping_rates.csv contains 300 monthly records from 2000 to 2024 detailing Baltic Dry Index, container spot rates, and supply chain pressure.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Historical Disruption Events: </w:t>
      </w:r>
      <w:r>
        <w:rPr>
          <w:rFonts w:ascii="Calibri" w:hAnsi="Calibri"/>
          <w:color w:val="323232"/>
          <w:sz w:val="21"/>
        </w:rPr>
        <w:t>ml_engine/data_pipeline/raw_data/disruption_events.csv calibrates model shocks against historical events including the 2021 Suez blockage, Red Sea missile attacks, COVID-19 lockdowns, and Panama canal droughts.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Live Macroeconomic Feeds: </w:t>
      </w:r>
      <w:r>
        <w:rPr>
          <w:rFonts w:ascii="Calibri" w:hAnsi="Calibri"/>
          <w:color w:val="323232"/>
          <w:sz w:val="21"/>
        </w:rPr>
        <w:t>Pulls real-time daily closes for Brent Crude Oil (BZ=F) to track marine bunker fuel price covariance and USD/INR exchange rates (USDINR=X).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Database Seeding Automation: </w:t>
      </w:r>
      <w:r>
        <w:rPr>
          <w:rFonts w:ascii="Calibri" w:hAnsi="Calibri"/>
          <w:color w:val="323232"/>
          <w:sz w:val="21"/>
        </w:rPr>
        <w:t>python ml_engine/data_pipeline/seed_database.py runs an automated bulk ETL pipeline ingesting ~1,316 market telemetry points and 6 active port profiles into the database.</w:t>
      </w:r>
    </w:p>
    <w:p>
      <w:pPr>
        <w:keepNext/>
        <w:spacing w:before="240" w:after="80"/>
      </w:pPr>
      <w:r>
        <w:rPr>
          <w:rFonts w:ascii="Calibri" w:hAnsi="Calibri"/>
          <w:b/>
          <w:color w:val="1E5A96"/>
          <w:sz w:val="26"/>
        </w:rPr>
        <w:t>Layer 2: Storage &amp; Database Architecture (backend/models/)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Built on PostgreSQL with robust time-series indexing and ACID transaction support. Configured with connection pooling (pool_pre_ping=True) to withstand cloud sleep cycles on free-tier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Primary Columns &amp; Data Types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Business Purpose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market_data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id (PK), index_name (VARCHAR), value (FLOAT), timestamp (DATETIME), currency (VARCHAR)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Stores 25 years of daily/monthly historical rates for BCI, BPI, BSI, BRENT_CRUDE, and USD_INR.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port_data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id (PK), port_name (VARCHAR), max_draft_meters (FLOAT), current_waiting_time_hours (FLOAT), berth_count (INT)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Stores real-time navigational channel depth, waiting delays, and handling throughput for Indian ports.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optimization_logs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id (PK), target_port (VARCHAR), required_cargo_mt (FLOAT), total_cost_usd (FLOAT), vessel_schedule (JSONB)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23232"/>
                <w:sz w:val="18"/>
              </w:rPr>
              <w:t>Audit trail storing every optimization run, input constraints, solver duration, and scheduled vessel dispatches.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</w:r>
    </w:p>
    <w:p>
      <w:pPr>
        <w:keepNext/>
        <w:spacing w:before="240" w:after="80"/>
      </w:pPr>
      <w:r>
        <w:rPr>
          <w:rFonts w:ascii="Calibri" w:hAnsi="Calibri"/>
          <w:b/>
          <w:color w:val="1E5A96"/>
          <w:sz w:val="26"/>
        </w:rPr>
        <w:t>Layer 3: FastAPI Asynchronous Backend Services (backend/routers/)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The backend is implemented in Python 3.11 using FastAPI and Uvicorn. Key architectural patterns include: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Bulletproof CORS: </w:t>
      </w:r>
      <w:r>
        <w:rPr>
          <w:rFonts w:ascii="Calibri" w:hAnsi="Calibri"/>
          <w:color w:val="323232"/>
          <w:sz w:val="21"/>
        </w:rPr>
        <w:t>Dynamic CORS middleware configured to accept cross-origin requests from any verified Vercel preview or production domain without throwing 400 Bad Request on OPTIONS preflight.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Dynamic Port Routing: </w:t>
      </w:r>
      <w:r>
        <w:rPr>
          <w:rFonts w:ascii="Calibri" w:hAnsi="Calibri"/>
          <w:color w:val="323232"/>
          <w:sz w:val="21"/>
        </w:rPr>
        <w:t>Internal ML engine service calls dynamically bind to Render's internal PORT environment variable (default 10000 on Render, 8000 on local) using 127.0.0.1 to avoid IPv6 resolution delays.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RESTful Endpoints: </w:t>
      </w:r>
      <w:r>
        <w:rPr>
          <w:rFonts w:ascii="Calibri" w:hAnsi="Calibri"/>
          <w:color w:val="323232"/>
          <w:sz w:val="21"/>
        </w:rPr>
        <w:t>Router structure: /api/v1/health (readiness), /api/v1/market-data (time-series), /api/v1/port-data (telemetry), /api/v1/forecasts (ML predictions), /api/v1/optimize (MILP solver), /api/v1/disruptions (scenarios).</w:t>
      </w:r>
    </w:p>
    <w:p>
      <w:pPr>
        <w:keepNext/>
        <w:spacing w:before="240" w:after="80"/>
      </w:pPr>
      <w:r>
        <w:rPr>
          <w:rFonts w:ascii="Calibri" w:hAnsi="Calibri"/>
          <w:b/>
          <w:color w:val="1E5A96"/>
          <w:sz w:val="26"/>
        </w:rPr>
        <w:t>Layer 4: Hybrid Machine Learning Engine (ml_engine/forecasting/)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Designed to overcome the limitations of naive single-model forecasting: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Short-Horizon (Days 1–15 - LightGBM): </w:t>
      </w:r>
      <w:r>
        <w:rPr>
          <w:rFonts w:ascii="Calibri" w:hAnsi="Calibri"/>
          <w:color w:val="323232"/>
          <w:sz w:val="21"/>
        </w:rPr>
        <w:t>Multi-lag gradient boosted decision trees. Engineered features: 1-day, 2-day, 3-day, 7-day, 14-day, 21-day, 30-day lag values; 7-day, 14-day, 30-day rolling means; rolling standard deviation (volatility); and day-of-week seasonality.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Medium-Horizon (Days 16–60 - Prophet): </w:t>
      </w:r>
      <w:r>
        <w:rPr>
          <w:rFonts w:ascii="Calibri" w:hAnsi="Calibri"/>
          <w:color w:val="323232"/>
          <w:sz w:val="21"/>
        </w:rPr>
        <w:t>Decomposed additive seasonal model with yearly and monthly seasonality, baseline-scaled to 25 years of real Kaggle BDI data. Dates are converted to timezone-naive datetimes (.dt.tz_localize(None)) to prevent runtime crashes.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80% Statistical Confidence Envelope: </w:t>
      </w:r>
      <w:r>
        <w:rPr>
          <w:rFonts w:ascii="Calibri" w:hAnsi="Calibri"/>
          <w:color w:val="323232"/>
          <w:sz w:val="21"/>
        </w:rPr>
        <w:t>Evaluates residual standard error to compute an 80% confidence interval band: [y_hat - 1.28 * sigma, y_hat + 1.28 * sigma].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Hybrid Blending Bridge: </w:t>
      </w:r>
      <w:r>
        <w:rPr>
          <w:rFonts w:ascii="Calibri" w:hAnsi="Calibri"/>
          <w:color w:val="323232"/>
          <w:sz w:val="21"/>
        </w:rPr>
        <w:t>Implements an exponential decay offset bridge between Day 14 and Day 25 to guarantee smooth, continuous trajectory transitions.</w:t>
      </w:r>
    </w:p>
    <w:p>
      <w:pPr>
        <w:keepNext/>
        <w:spacing w:before="240" w:after="80"/>
      </w:pPr>
      <w:r>
        <w:rPr>
          <w:rFonts w:ascii="Calibri" w:hAnsi="Calibri"/>
          <w:b/>
          <w:color w:val="1E5A96"/>
          <w:sz w:val="26"/>
        </w:rPr>
        <w:t>Layer 5: Operations Research MILP Optimization Engine (ml_engine/optimization/)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Formulates vessel fleet chartering as a Mixed-Integer Linear Program (MILP) solved via PuLP's COIN-OR CBC Branch-and-Cut algorithm.</w:t>
      </w:r>
    </w:p>
    <w:p>
      <w:pPr>
        <w:keepNext/>
        <w:spacing w:before="160" w:after="40"/>
      </w:pPr>
      <w:r>
        <w:rPr>
          <w:rFonts w:ascii="Calibri" w:hAnsi="Calibri"/>
          <w:b/>
          <w:color w:val="323232"/>
          <w:sz w:val="22"/>
        </w:rPr>
        <w:t>Mathematical Formulation: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1. Sets &amp; Indices: t in {1..H} (Planning days), v in {Capesize, Panamax, Supramax}, p in Ports, m in Origins (Australia, Indonesia).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2. Parameters: D_required (Total MT demand), C_v (Vessel capacity MT), F_v,t (Forecasted rate $/MT), R_m (Route distance multiplier: 1.0 Aus, 0.85 Indo), K_demurrage ($25,000/day), W_p (Port delay days), d_v (Vessel draft m), Draft_max_p (Port channel depth m), B_max_p,t (Berth throughput).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3. Decision Variables: x_v,t in {0, 1, 2, ...} (Integer number of ships chartered).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4. Objective Function: Minimize Total Landed Cost (Voyage Freight + Demurrage):</w:t>
      </w:r>
    </w:p>
    <w:p>
      <w:pPr>
        <w:spacing w:after="80" w:line="276" w:lineRule="auto"/>
      </w:pPr>
      <w:r>
        <w:rPr>
          <w:rFonts w:ascii="Calibri" w:hAnsi="Calibri"/>
          <w:b/>
          <w:color w:val="323232"/>
          <w:sz w:val="21"/>
        </w:rPr>
        <w:t xml:space="preserve">Objective: </w:t>
      </w:r>
      <w:r>
        <w:rPr>
          <w:rFonts w:ascii="Calibri" w:hAnsi="Calibri"/>
          <w:color w:val="323232"/>
          <w:sz w:val="21"/>
        </w:rPr>
        <w:t>min Z = sum_t sum_v [ (F_v,t * C_v * R_m) * x_v,t  +  (K_demurrage * W_p) * x_v,t ]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5. Hard Constraints: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Demand Satisfaction: </w:t>
      </w:r>
      <w:r>
        <w:rPr>
          <w:rFonts w:ascii="Calibri" w:hAnsi="Calibri"/>
          <w:color w:val="323232"/>
          <w:sz w:val="21"/>
        </w:rPr>
        <w:t>sum_t sum_v (C_v * x_v,t) &gt;= D_required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Port Draft Safety: </w:t>
      </w:r>
      <w:r>
        <w:rPr>
          <w:rFonts w:ascii="Calibri" w:hAnsi="Calibri"/>
          <w:color w:val="323232"/>
          <w:sz w:val="21"/>
        </w:rPr>
        <w:t>x_v,t = 0 for all v where d_v &gt; Draft_max_p  (Strict draft filter, e.g. Capesize barred from Haldia)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Berth Capacity: </w:t>
      </w:r>
      <w:r>
        <w:rPr>
          <w:rFonts w:ascii="Calibri" w:hAnsi="Calibri"/>
          <w:color w:val="323232"/>
          <w:sz w:val="21"/>
        </w:rPr>
        <w:t>sum_v x_v,t &lt;= B_max_p,t for all t  (Berth congestion throughput limit)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Integrality: </w:t>
      </w:r>
      <w:r>
        <w:rPr>
          <w:rFonts w:ascii="Calibri" w:hAnsi="Calibri"/>
          <w:color w:val="323232"/>
          <w:sz w:val="21"/>
        </w:rPr>
        <w:t>x_v,t in Z_&gt;=0  (Non-divisible, whole vessel charters)</w:t>
      </w:r>
    </w:p>
    <w:p>
      <w:pPr>
        <w:keepNext/>
        <w:spacing w:before="240" w:after="80"/>
      </w:pPr>
      <w:r>
        <w:rPr>
          <w:rFonts w:ascii="Calibri" w:hAnsi="Calibri"/>
          <w:b/>
          <w:color w:val="1E5A96"/>
          <w:sz w:val="26"/>
        </w:rPr>
        <w:t>Layer 6: Enterprise Command Center UI (frontend/)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Framework: </w:t>
      </w:r>
      <w:r>
        <w:rPr>
          <w:rFonts w:ascii="Calibri" w:hAnsi="Calibri"/>
          <w:color w:val="323232"/>
          <w:sz w:val="21"/>
        </w:rPr>
        <w:t>Next.js 14 App Router, React 18, TypeScript, and Server-Side Rendering (SSR).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Visual Styling: </w:t>
      </w:r>
      <w:r>
        <w:rPr>
          <w:rFonts w:ascii="Calibri" w:hAnsi="Calibri"/>
          <w:color w:val="323232"/>
          <w:sz w:val="21"/>
        </w:rPr>
        <w:t>Tailwind CSS dark theme (#090a0f, #12131a, #222430) compliant with National Informatics Centre (NIC) data density standards.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Data Visualization: </w:t>
      </w:r>
      <w:r>
        <w:rPr>
          <w:rFonts w:ascii="Calibri" w:hAnsi="Calibri"/>
          <w:color w:val="323232"/>
          <w:sz w:val="21"/>
        </w:rPr>
        <w:t>Recharts ComposedChart rendering 60-day predictive curves with shaded 80% confidence envelopes and dual-currency conversion (USD $ and INR ₹ Crores).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Interactive Simulation: </w:t>
      </w:r>
      <w:r>
        <w:rPr>
          <w:rFonts w:ascii="Calibri" w:hAnsi="Calibri"/>
          <w:color w:val="323232"/>
          <w:sz w:val="21"/>
        </w:rPr>
        <w:t>One-click disruption buttons (Suez Blockage, Red Sea Crisis, Monsoon Siltation) triggering real-time re-optimization.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3. Production Cloud Deployment Topology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The production deployment utilizes a distributed, serverless cloud architecture: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Frontend (Vercel): </w:t>
      </w:r>
      <w:r>
        <w:rPr>
          <w:rFonts w:ascii="Calibri" w:hAnsi="Calibri"/>
          <w:color w:val="323232"/>
          <w:sz w:val="21"/>
        </w:rPr>
        <w:t>Vercel Edge Network hosts the Next.js 14 frontend with automated Git-triggered CI/CD builds, bypassing non-blocking lint errors for instant deployments.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Backend (Render): </w:t>
      </w:r>
      <w:r>
        <w:rPr>
          <w:rFonts w:ascii="Calibri" w:hAnsi="Calibri"/>
          <w:color w:val="323232"/>
          <w:sz w:val="21"/>
        </w:rPr>
        <w:t>Render hosts the FastAPI + Python ML services under an asynchronous Uvicorn worker managed by a production Procfile.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Database (Neon DB): </w:t>
      </w:r>
      <w:r>
        <w:rPr>
          <w:rFonts w:ascii="Calibri" w:hAnsi="Calibri"/>
          <w:color w:val="323232"/>
          <w:sz w:val="21"/>
        </w:rPr>
        <w:t>Neon DB provides serverless PostgreSQL with connection pooling, SSL/TLS encryption, and automatic scaling.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4. Security, Auditability &amp; Governance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CVC/CAG Audit Compliance: </w:t>
      </w:r>
      <w:r>
        <w:rPr>
          <w:rFonts w:ascii="Calibri" w:hAnsi="Calibri"/>
          <w:color w:val="323232"/>
          <w:sz w:val="21"/>
        </w:rPr>
        <w:t>Every optimization execution is permanently logged in optimization_logs with input parameters, solver execution time, and dispatched vessel schedules for CVC and CAG audit compliance.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Data Sovereignty (MeitY): </w:t>
      </w:r>
      <w:r>
        <w:rPr>
          <w:rFonts w:ascii="Calibri" w:hAnsi="Calibri"/>
          <w:color w:val="323232"/>
          <w:sz w:val="21"/>
        </w:rPr>
        <w:t>The entire application can be deployed on private cloud or air-gapped on-premise government servers with zero data sent to external third-party SaaS vendors.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23232"/>
          <w:sz w:val="21"/>
        </w:rPr>
        <w:t xml:space="preserve">Role-Based Access (RBAC): </w:t>
      </w:r>
      <w:r>
        <w:rPr>
          <w:rFonts w:ascii="Calibri" w:hAnsi="Calibri"/>
          <w:color w:val="323232"/>
          <w:sz w:val="21"/>
        </w:rPr>
        <w:t>Database and API schemas are designed with role-based attributes ready for OAuth2/JWT integration across Procurement Officers, Logistics Directors, and External Auditors.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