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03366"/>
          <w:sz w:val="48"/>
        </w:rPr>
        <w:t>Freight DSS | SIH26006</w:t>
      </w:r>
    </w:p>
    <w:p>
      <w:pPr>
        <w:spacing w:after="160"/>
        <w:jc w:val="center"/>
      </w:pPr>
      <w:r>
        <w:rPr>
          <w:rFonts w:ascii="Calibri" w:hAnsi="Calibri"/>
          <w:i/>
          <w:color w:val="1E5A96"/>
          <w:sz w:val="26"/>
        </w:rPr>
        <w:t>3-Minute Winning Hackathon Pitch &amp; Demonstration Master Script</w:t>
      </w:r>
    </w:p>
    <w:p>
      <w:pPr>
        <w:spacing w:after="360"/>
        <w:jc w:val="center"/>
      </w:pPr>
      <w:r>
        <w:rPr>
          <w:rFonts w:ascii="Calibri" w:hAnsi="Calibri"/>
          <w:b/>
          <w:color w:val="323232"/>
          <w:sz w:val="19"/>
        </w:rPr>
        <w:t>Target: Ministry of Steel &amp; Hackathon Evaluators | Problem ID: SIH26006 | Duration: Exact 3:00 Minutes | Theme: Logistics &amp; AI Decision Systems</w:t>
      </w:r>
    </w:p>
    <w:p>
      <w:pPr>
        <w:spacing w:after="240"/>
        <w:pBdr>
          <w:bottom w:val="single" w:sz="12" w:space="1" w:color="003366"/>
        </w:pBdr>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left w:val="single" w:sz="24" w:space="0" w:color="003366"/>
              <w:top w:val="none"/>
              <w:right w:val="none"/>
              <w:bottom w:val="none"/>
            </w:tcBorders>
          </w:tcPr>
          <w:p>
            <w:pPr>
              <w:spacing w:after="40"/>
            </w:pPr>
            <w:r>
              <w:rPr>
                <w:rFonts w:ascii="Calibri" w:hAnsi="Calibri"/>
                <w:b/>
                <w:color w:val="003366"/>
                <w:sz w:val="22"/>
              </w:rPr>
              <w:t>📌 PITCH PHILOSOPHY &amp; OBJECTIVE</w:t>
              <w:br/>
            </w:r>
            <w:r>
              <w:rPr>
                <w:rFonts w:ascii="Calibri" w:hAnsi="Calibri"/>
                <w:color w:val="323232"/>
                <w:sz w:val="20"/>
              </w:rPr>
              <w:t>Goal of this 3-minute pitch is to show three things: (1) The massive national problem (PSUs losing ₹100+ Crore on volatile freight &amp; demurrage), (2) The advanced AI forecasting engine that sees 60 days into the future with 80% confidence intervals, and (3) The MILP solver that automatically rejects illegal ship sizes (like Capesize at Haldia) to save ₹3.5+ Crore in a single run.</w:t>
            </w:r>
          </w:p>
        </w:tc>
      </w:tr>
    </w:tbl>
    <w:p>
      <w:pPr>
        <w:spacing w:after="120"/>
      </w:pPr>
    </w:p>
    <w:p>
      <w:pPr>
        <w:keepNext/>
        <w:spacing w:before="320" w:after="120"/>
      </w:pPr>
      <w:r>
        <w:rPr>
          <w:rFonts w:ascii="Calibri" w:hAnsi="Calibri"/>
          <w:b/>
          <w:color w:val="003366"/>
          <w:sz w:val="32"/>
        </w:rPr>
        <w:t>1. Pre-Pitch Preparation &amp; Setup Checklist (T-Minus 5 Minutes)</w:t>
      </w:r>
    </w:p>
    <w:p>
      <w:pPr>
        <w:pStyle w:val="ListBullet"/>
        <w:spacing w:after="60" w:line="276" w:lineRule="auto"/>
      </w:pPr>
      <w:r>
        <w:rPr>
          <w:rFonts w:ascii="Calibri" w:hAnsi="Calibri"/>
          <w:b/>
          <w:color w:val="323232"/>
          <w:sz w:val="21"/>
        </w:rPr>
        <w:t xml:space="preserve">Live Cloud Ready: </w:t>
      </w:r>
      <w:r>
        <w:rPr>
          <w:rFonts w:ascii="Calibri" w:hAnsi="Calibri"/>
          <w:color w:val="323232"/>
          <w:sz w:val="21"/>
        </w:rPr>
        <w:t>Ensure both production links are active on separate tabs: [Frontend on Vercel] and [FastAPI Docs on Render].</w:t>
      </w:r>
    </w:p>
    <w:p>
      <w:pPr>
        <w:pStyle w:val="ListBullet"/>
        <w:spacing w:after="60" w:line="276" w:lineRule="auto"/>
      </w:pPr>
      <w:r>
        <w:rPr>
          <w:rFonts w:ascii="Calibri" w:hAnsi="Calibri"/>
          <w:b/>
          <w:color w:val="323232"/>
          <w:sz w:val="21"/>
        </w:rPr>
        <w:t xml:space="preserve">Local Sandbox Fallback: </w:t>
      </w:r>
      <w:r>
        <w:rPr>
          <w:rFonts w:ascii="Calibri" w:hAnsi="Calibri"/>
          <w:color w:val="323232"/>
          <w:sz w:val="21"/>
        </w:rPr>
        <w:t>Keep local dev servers running in background as insurance (FastAPI at http://localhost:8000 and Next.js at http://localhost:3000).</w:t>
      </w:r>
    </w:p>
    <w:p>
      <w:pPr>
        <w:pStyle w:val="ListBullet"/>
        <w:spacing w:after="60" w:line="276" w:lineRule="auto"/>
      </w:pPr>
      <w:r>
        <w:rPr>
          <w:rFonts w:ascii="Calibri" w:hAnsi="Calibri"/>
          <w:b/>
          <w:color w:val="323232"/>
          <w:sz w:val="21"/>
        </w:rPr>
        <w:t xml:space="preserve">Verified Telemetry: </w:t>
      </w:r>
      <w:r>
        <w:rPr>
          <w:rFonts w:ascii="Calibri" w:hAnsi="Calibri"/>
          <w:color w:val="323232"/>
          <w:sz w:val="21"/>
        </w:rPr>
        <w:t>Confirm database is pre-seeded with ~1,316 historical Kaggle BDI &amp; port telemetry records (python ml_engine/data_pipeline/seed_database.py).</w:t>
      </w:r>
    </w:p>
    <w:p>
      <w:pPr>
        <w:pStyle w:val="ListBullet"/>
        <w:spacing w:after="60" w:line="276" w:lineRule="auto"/>
      </w:pPr>
      <w:r>
        <w:rPr>
          <w:rFonts w:ascii="Calibri" w:hAnsi="Calibri"/>
          <w:b/>
          <w:color w:val="323232"/>
          <w:sz w:val="21"/>
        </w:rPr>
        <w:t xml:space="preserve">Presentation Screen: </w:t>
      </w:r>
      <w:r>
        <w:rPr>
          <w:rFonts w:ascii="Calibri" w:hAnsi="Calibri"/>
          <w:color w:val="323232"/>
          <w:sz w:val="21"/>
        </w:rPr>
        <w:t>Display laptop in 100% zoom with full-screen browser (F11) on dark mode dashboard.</w:t>
      </w:r>
    </w:p>
    <w:p>
      <w:pPr>
        <w:keepNext/>
        <w:spacing w:before="320" w:after="120"/>
      </w:pPr>
      <w:r>
        <w:rPr>
          <w:rFonts w:ascii="Calibri" w:hAnsi="Calibri"/>
          <w:b/>
          <w:color w:val="003366"/>
          <w:sz w:val="32"/>
        </w:rPr>
        <w:t>2. Pitch Timeline Blueprint (3-Minute Structure)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03366"/>
            <w:tcMar>
              <w:top w:w="100" w:type="dxa"/>
              <w:bottom w:w="100" w:type="dxa"/>
              <w:left w:w="100" w:type="dxa"/>
              <w:right w:w="100" w:type="dxa"/>
            </w:tcMar>
          </w:tcPr>
          <w:p>
            <w:r>
              <w:rPr>
                <w:rFonts w:ascii="Calibri" w:hAnsi="Calibri"/>
                <w:b/>
                <w:color w:val="FFFFFF"/>
                <w:sz w:val="20"/>
              </w:rPr>
              <w:t>Segment</w:t>
            </w:r>
          </w:p>
        </w:tc>
        <w:tc>
          <w:tcPr>
            <w:tcW w:type="dxa" w:w="3120"/>
            <w:shd w:fill="003366"/>
            <w:tcMar>
              <w:top w:w="100" w:type="dxa"/>
              <w:bottom w:w="100" w:type="dxa"/>
              <w:left w:w="100" w:type="dxa"/>
              <w:right w:w="100" w:type="dxa"/>
            </w:tcMar>
          </w:tcPr>
          <w:p>
            <w:r>
              <w:rPr>
                <w:rFonts w:ascii="Calibri" w:hAnsi="Calibri"/>
                <w:b/>
                <w:color w:val="FFFFFF"/>
                <w:sz w:val="20"/>
              </w:rPr>
              <w:t>Time Stamp</w:t>
            </w:r>
          </w:p>
        </w:tc>
        <w:tc>
          <w:tcPr>
            <w:tcW w:type="dxa" w:w="3120"/>
            <w:shd w:fill="003366"/>
            <w:tcMar>
              <w:top w:w="100" w:type="dxa"/>
              <w:bottom w:w="100" w:type="dxa"/>
              <w:left w:w="100" w:type="dxa"/>
              <w:right w:w="100" w:type="dxa"/>
            </w:tcMar>
          </w:tcPr>
          <w:p>
            <w:r>
              <w:rPr>
                <w:rFonts w:ascii="Calibri" w:hAnsi="Calibri"/>
                <w:b/>
                <w:color w:val="FFFFFF"/>
                <w:sz w:val="20"/>
              </w:rPr>
              <w:t>Key Focus &amp; Wow Factor</w:t>
            </w:r>
          </w:p>
        </w:tc>
      </w:tr>
      <w:tr>
        <w:tc>
          <w:tcPr>
            <w:tcW w:type="dxa" w:w="3120"/>
            <w:shd w:fill="FFFFFF"/>
            <w:tcMar>
              <w:top w:w="80" w:type="dxa"/>
              <w:bottom w:w="80" w:type="dxa"/>
              <w:left w:w="100" w:type="dxa"/>
              <w:right w:w="100" w:type="dxa"/>
            </w:tcMar>
          </w:tcPr>
          <w:p>
            <w:r>
              <w:rPr>
                <w:rFonts w:ascii="Calibri" w:hAnsi="Calibri"/>
                <w:color w:val="323232"/>
                <w:sz w:val="19"/>
              </w:rPr>
              <w:t>Minute 1: The National Crisis</w:t>
            </w:r>
          </w:p>
        </w:tc>
        <w:tc>
          <w:tcPr>
            <w:tcW w:type="dxa" w:w="3120"/>
            <w:shd w:fill="FFFFFF"/>
            <w:tcMar>
              <w:top w:w="80" w:type="dxa"/>
              <w:bottom w:w="80" w:type="dxa"/>
              <w:left w:w="100" w:type="dxa"/>
              <w:right w:w="100" w:type="dxa"/>
            </w:tcMar>
          </w:tcPr>
          <w:p>
            <w:r>
              <w:rPr>
                <w:rFonts w:ascii="Calibri" w:hAnsi="Calibri"/>
                <w:color w:val="323232"/>
                <w:sz w:val="19"/>
              </w:rPr>
              <w:t>0:00 – 1:00</w:t>
            </w:r>
          </w:p>
        </w:tc>
        <w:tc>
          <w:tcPr>
            <w:tcW w:type="dxa" w:w="3120"/>
            <w:shd w:fill="FFFFFF"/>
            <w:tcMar>
              <w:top w:w="80" w:type="dxa"/>
              <w:bottom w:w="80" w:type="dxa"/>
              <w:left w:w="100" w:type="dxa"/>
              <w:right w:w="100" w:type="dxa"/>
            </w:tcMar>
          </w:tcPr>
          <w:p>
            <w:r>
              <w:rPr>
                <w:rFonts w:ascii="Calibri" w:hAnsi="Calibri"/>
                <w:color w:val="323232"/>
                <w:sz w:val="19"/>
              </w:rPr>
              <w:t>Why Indian Steel PSUs lose hundreds of crores on freight swings ($25k/day demurrage, 50% rate volatility, shallow riverine drafts).</w:t>
            </w:r>
          </w:p>
        </w:tc>
      </w:tr>
      <w:tr>
        <w:tc>
          <w:tcPr>
            <w:tcW w:type="dxa" w:w="3120"/>
            <w:shd w:fill="F9FBFD"/>
            <w:tcMar>
              <w:top w:w="80" w:type="dxa"/>
              <w:bottom w:w="80" w:type="dxa"/>
              <w:left w:w="100" w:type="dxa"/>
              <w:right w:w="100" w:type="dxa"/>
            </w:tcMar>
          </w:tcPr>
          <w:p>
            <w:r>
              <w:rPr>
                <w:rFonts w:ascii="Calibri" w:hAnsi="Calibri"/>
                <w:color w:val="323232"/>
                <w:sz w:val="19"/>
              </w:rPr>
              <w:t>Minute 2: The Two-Tier AI Engine</w:t>
            </w:r>
          </w:p>
        </w:tc>
        <w:tc>
          <w:tcPr>
            <w:tcW w:type="dxa" w:w="3120"/>
            <w:shd w:fill="F9FBFD"/>
            <w:tcMar>
              <w:top w:w="80" w:type="dxa"/>
              <w:bottom w:w="80" w:type="dxa"/>
              <w:left w:w="100" w:type="dxa"/>
              <w:right w:w="100" w:type="dxa"/>
            </w:tcMar>
          </w:tcPr>
          <w:p>
            <w:r>
              <w:rPr>
                <w:rFonts w:ascii="Calibri" w:hAnsi="Calibri"/>
                <w:color w:val="323232"/>
                <w:sz w:val="19"/>
              </w:rPr>
              <w:t>1:00 – 2:00</w:t>
            </w:r>
          </w:p>
        </w:tc>
        <w:tc>
          <w:tcPr>
            <w:tcW w:type="dxa" w:w="3120"/>
            <w:shd w:fill="F9FBFD"/>
            <w:tcMar>
              <w:top w:w="80" w:type="dxa"/>
              <w:bottom w:w="80" w:type="dxa"/>
              <w:left w:w="100" w:type="dxa"/>
              <w:right w:w="100" w:type="dxa"/>
            </w:tcMar>
          </w:tcPr>
          <w:p>
            <w:r>
              <w:rPr>
                <w:rFonts w:ascii="Calibri" w:hAnsi="Calibri"/>
                <w:color w:val="323232"/>
                <w:sz w:val="19"/>
              </w:rPr>
              <w:t>Live 60-day hybrid forecasting: LightGBM for 15-day volatility + Prophet trained on 25 years of Kaggle Baltic Dry Index data + 80% Confidence Interval bands.</w:t>
            </w:r>
          </w:p>
        </w:tc>
      </w:tr>
      <w:tr>
        <w:tc>
          <w:tcPr>
            <w:tcW w:type="dxa" w:w="3120"/>
            <w:shd w:fill="FFFFFF"/>
            <w:tcMar>
              <w:top w:w="80" w:type="dxa"/>
              <w:bottom w:w="80" w:type="dxa"/>
              <w:left w:w="100" w:type="dxa"/>
              <w:right w:w="100" w:type="dxa"/>
            </w:tcMar>
          </w:tcPr>
          <w:p>
            <w:r>
              <w:rPr>
                <w:rFonts w:ascii="Calibri" w:hAnsi="Calibri"/>
                <w:color w:val="323232"/>
                <w:sz w:val="19"/>
              </w:rPr>
              <w:t>Minute 3: Mathematical Optimization &amp; ROI</w:t>
            </w:r>
          </w:p>
        </w:tc>
        <w:tc>
          <w:tcPr>
            <w:tcW w:type="dxa" w:w="3120"/>
            <w:shd w:fill="FFFFFF"/>
            <w:tcMar>
              <w:top w:w="80" w:type="dxa"/>
              <w:bottom w:w="80" w:type="dxa"/>
              <w:left w:w="100" w:type="dxa"/>
              <w:right w:w="100" w:type="dxa"/>
            </w:tcMar>
          </w:tcPr>
          <w:p>
            <w:r>
              <w:rPr>
                <w:rFonts w:ascii="Calibri" w:hAnsi="Calibri"/>
                <w:color w:val="323232"/>
                <w:sz w:val="19"/>
              </w:rPr>
              <w:t>2:00 – 3:00</w:t>
            </w:r>
          </w:p>
        </w:tc>
        <w:tc>
          <w:tcPr>
            <w:tcW w:type="dxa" w:w="3120"/>
            <w:shd w:fill="FFFFFF"/>
            <w:tcMar>
              <w:top w:w="80" w:type="dxa"/>
              <w:bottom w:w="80" w:type="dxa"/>
              <w:left w:w="100" w:type="dxa"/>
              <w:right w:w="100" w:type="dxa"/>
            </w:tcMar>
          </w:tcPr>
          <w:p>
            <w:r>
              <w:rPr>
                <w:rFonts w:ascii="Calibri" w:hAnsi="Calibri"/>
                <w:color w:val="323232"/>
                <w:sz w:val="19"/>
              </w:rPr>
              <w:t>Live MILP Solver demo: Haldia Port draft rejection (12m vs 17m Capesize), parcel allocation into 3 Supramaxes, saving ₹3.45 Crore ($416k) in 100ms.</w:t>
            </w:r>
          </w:p>
        </w:tc>
      </w:tr>
    </w:tbl>
    <w:p>
      <w:pPr>
        <w:spacing w:after="80" w:line="276" w:lineRule="auto"/>
      </w:pPr>
      <w:r>
        <w:rPr>
          <w:rFonts w:ascii="Calibri" w:hAnsi="Calibri"/>
          <w:color w:val="323232"/>
          <w:sz w:val="21"/>
        </w:rPr>
      </w:r>
    </w:p>
    <w:p>
      <w:pPr>
        <w:keepNext/>
        <w:spacing w:before="320" w:after="120"/>
      </w:pPr>
      <w:r>
        <w:rPr>
          <w:rFonts w:ascii="Calibri" w:hAnsi="Calibri"/>
          <w:b/>
          <w:color w:val="003366"/>
          <w:sz w:val="32"/>
        </w:rPr>
        <w:t>3. Word-for-Word Pitch Script</w:t>
      </w:r>
    </w:p>
    <w:p>
      <w:pPr>
        <w:keepNext/>
        <w:spacing w:before="240" w:after="80"/>
      </w:pPr>
      <w:r>
        <w:rPr>
          <w:rFonts w:ascii="Calibri" w:hAnsi="Calibri"/>
          <w:b/>
          <w:color w:val="1E5A96"/>
          <w:sz w:val="26"/>
        </w:rPr>
        <w:t>Minute 1: The National Crisis (0:00 – 1:00)</w:t>
      </w:r>
    </w:p>
    <w:p>
      <w:pPr>
        <w:spacing w:after="80" w:line="276" w:lineRule="auto"/>
      </w:pPr>
      <w:r>
        <w:rPr>
          <w:rFonts w:ascii="Calibri" w:hAnsi="Calibri"/>
          <w:i/>
          <w:color w:val="1E5A96"/>
          <w:sz w:val="21"/>
        </w:rPr>
        <w:t xml:space="preserve">SCREEN ACTION: </w:t>
      </w:r>
      <w:r>
        <w:rPr>
          <w:rFonts w:ascii="Calibri" w:hAnsi="Calibri"/>
          <w:color w:val="323232"/>
          <w:sz w:val="21"/>
        </w:rPr>
        <w:t>[Point to the Top Header, Key Market Indicators, and Live Vessel Status Strip]</w:t>
      </w:r>
    </w:p>
    <w:p>
      <w:pPr>
        <w:spacing w:after="80" w:line="276" w:lineRule="auto"/>
      </w:pPr>
      <w:r>
        <w:rPr>
          <w:rFonts w:ascii="Calibri" w:hAnsi="Calibri"/>
          <w:b/>
          <w:color w:val="323232"/>
          <w:sz w:val="21"/>
        </w:rPr>
        <w:t xml:space="preserve">SPEAKER: </w:t>
      </w:r>
      <w:r>
        <w:rPr>
          <w:rFonts w:ascii="Calibri" w:hAnsi="Calibri"/>
          <w:color w:val="323232"/>
          <w:sz w:val="21"/>
        </w:rPr>
        <w:t>"Respected Jury Members, India is the second-largest crude steel producer on earth. To power our blast furnaces, central PSUs like SAIL, RINL, and NMDC import over 70 million tonnes of coking coal every single year from Australia, South Africa, and Indonesia.</w:t>
      </w:r>
    </w:p>
    <w:p>
      <w:pPr>
        <w:spacing w:after="80" w:line="276" w:lineRule="auto"/>
      </w:pPr>
      <w:r>
        <w:rPr>
          <w:rFonts w:ascii="Calibri" w:hAnsi="Calibri"/>
          <w:color w:val="323232"/>
          <w:sz w:val="21"/>
        </w:rPr>
        <w:t>Yet, this multi-billion dollar chartering operation is still managed using disconnected spreadsheets, historical averages, and reactive broker calls.</w:t>
      </w:r>
    </w:p>
    <w:p>
      <w:pPr>
        <w:spacing w:after="80" w:line="276" w:lineRule="auto"/>
      </w:pPr>
      <w:r>
        <w:rPr>
          <w:rFonts w:ascii="Calibri" w:hAnsi="Calibri"/>
          <w:color w:val="323232"/>
          <w:sz w:val="21"/>
        </w:rPr>
        <w:t>This creates two massive financial bleeds for our national exchequer:</w:t>
      </w:r>
    </w:p>
    <w:p>
      <w:pPr>
        <w:pStyle w:val="ListBullet"/>
        <w:spacing w:after="60" w:line="276" w:lineRule="auto"/>
      </w:pPr>
      <w:r>
        <w:rPr>
          <w:rFonts w:ascii="Calibri" w:hAnsi="Calibri"/>
          <w:b/>
          <w:color w:val="323232"/>
          <w:sz w:val="21"/>
        </w:rPr>
        <w:t xml:space="preserve">1. Freight Market Volatility: </w:t>
      </w:r>
      <w:r>
        <w:rPr>
          <w:rFonts w:ascii="Calibri" w:hAnsi="Calibri"/>
          <w:color w:val="323232"/>
          <w:sz w:val="21"/>
        </w:rPr>
        <w:t>Baltic Dry Capesize and Panamax rates swing by 30% to 50% in just 30 days due to bunker fuel spikes and geopolitical crises.</w:t>
      </w:r>
    </w:p>
    <w:p>
      <w:pPr>
        <w:pStyle w:val="ListBullet"/>
        <w:spacing w:after="60" w:line="276" w:lineRule="auto"/>
      </w:pPr>
      <w:r>
        <w:rPr>
          <w:rFonts w:ascii="Calibri" w:hAnsi="Calibri"/>
          <w:b/>
          <w:color w:val="323232"/>
          <w:sz w:val="21"/>
        </w:rPr>
        <w:t xml:space="preserve">2. Devastating Demurrage Penalties: </w:t>
      </w:r>
      <w:r>
        <w:rPr>
          <w:rFonts w:ascii="Calibri" w:hAnsi="Calibri"/>
          <w:color w:val="323232"/>
          <w:sz w:val="21"/>
        </w:rPr>
        <w:t>When raw material ships arrive during heavy congestion, Indian PSUs pay demurrage penalties of $25,000 per vessel per day. A 3-day queue costs ₹60 Lakhs for a single stranded ship.</w:t>
      </w:r>
    </w:p>
    <w:p>
      <w:pPr>
        <w:pStyle w:val="ListBullet"/>
        <w:spacing w:after="60" w:line="276" w:lineRule="auto"/>
      </w:pPr>
      <w:r>
        <w:rPr>
          <w:rFonts w:ascii="Calibri" w:hAnsi="Calibri"/>
          <w:b/>
          <w:color w:val="323232"/>
          <w:sz w:val="21"/>
        </w:rPr>
        <w:t xml:space="preserve">3. Rigid Port Draft Restrictions: </w:t>
      </w:r>
      <w:r>
        <w:rPr>
          <w:rFonts w:ascii="Calibri" w:hAnsi="Calibri"/>
          <w:color w:val="323232"/>
          <w:sz w:val="21"/>
        </w:rPr>
        <w:t>Ports like Haldia have a shallow 12-meter river draft. If a charter officer mistakenly books a giant Capesize ship that needs 17 meters, the ship cannot enter, triggering catastrophic deadfreight penalties.</w:t>
      </w:r>
    </w:p>
    <w:p>
      <w:pPr>
        <w:spacing w:after="80" w:line="276" w:lineRule="auto"/>
      </w:pPr>
      <w:r>
        <w:rPr>
          <w:rFonts w:ascii="Calibri" w:hAnsi="Calibri"/>
          <w:color w:val="323232"/>
          <w:sz w:val="21"/>
        </w:rPr>
        <w:t>Our solution, Freight DSS, is the first intelligent Decision Support System engineered specifically for the Ministry of Steel to solve this exact bottleneck."</w:t>
      </w:r>
    </w:p>
    <w:p>
      <w:pPr>
        <w:keepNext/>
        <w:spacing w:before="240" w:after="80"/>
      </w:pPr>
      <w:r>
        <w:rPr>
          <w:rFonts w:ascii="Calibri" w:hAnsi="Calibri"/>
          <w:b/>
          <w:color w:val="1E5A96"/>
          <w:sz w:val="26"/>
        </w:rPr>
        <w:t>Minute 2: The Two-Tier AI Solution (1:00 – 2:00)</w:t>
      </w:r>
    </w:p>
    <w:p>
      <w:pPr>
        <w:spacing w:after="80" w:line="276" w:lineRule="auto"/>
      </w:pPr>
      <w:r>
        <w:rPr>
          <w:rFonts w:ascii="Calibri" w:hAnsi="Calibri"/>
          <w:i/>
          <w:color w:val="1E5A96"/>
          <w:sz w:val="21"/>
        </w:rPr>
        <w:t xml:space="preserve">SCREEN ACTION: </w:t>
      </w:r>
      <w:r>
        <w:rPr>
          <w:rFonts w:ascii="Calibri" w:hAnsi="Calibri"/>
          <w:color w:val="323232"/>
          <w:sz w:val="21"/>
        </w:rPr>
        <w:t>[Scroll smoothly down to the Freight Rate Forecast Chart. Switch index dropdown from BCI to BPI, then hover over the shaded envelope]</w:t>
      </w:r>
    </w:p>
    <w:p>
      <w:pPr>
        <w:spacing w:after="80" w:line="276" w:lineRule="auto"/>
      </w:pPr>
      <w:r>
        <w:rPr>
          <w:rFonts w:ascii="Calibri" w:hAnsi="Calibri"/>
          <w:b/>
          <w:color w:val="323232"/>
          <w:sz w:val="21"/>
        </w:rPr>
        <w:t xml:space="preserve">SPEAKER: </w:t>
      </w:r>
      <w:r>
        <w:rPr>
          <w:rFonts w:ascii="Calibri" w:hAnsi="Calibri"/>
          <w:color w:val="323232"/>
          <w:sz w:val="21"/>
        </w:rPr>
        <w:t>"Here is our AI engine in action.</w:t>
      </w:r>
    </w:p>
    <w:p>
      <w:pPr>
        <w:spacing w:after="80" w:line="276" w:lineRule="auto"/>
      </w:pPr>
      <w:r>
        <w:rPr>
          <w:rFonts w:ascii="Calibri" w:hAnsi="Calibri"/>
          <w:color w:val="323232"/>
          <w:sz w:val="21"/>
        </w:rPr>
        <w:t>Instead of using simple line-drawing or unexplainable black-box models, we built a Two-Tier Hybrid Forecasting Architecture backed by real-world data:</w:t>
      </w:r>
    </w:p>
    <w:p>
      <w:pPr>
        <w:pStyle w:val="ListBullet"/>
        <w:spacing w:after="60" w:line="276" w:lineRule="auto"/>
      </w:pPr>
      <w:r>
        <w:rPr>
          <w:rFonts w:ascii="Calibri" w:hAnsi="Calibri"/>
          <w:b/>
          <w:color w:val="323232"/>
          <w:sz w:val="21"/>
        </w:rPr>
        <w:t xml:space="preserve">For Days 1 to 15 (Short-Term Volatility): </w:t>
      </w:r>
      <w:r>
        <w:rPr>
          <w:rFonts w:ascii="Calibri" w:hAnsi="Calibri"/>
          <w:color w:val="323232"/>
          <w:sz w:val="21"/>
        </w:rPr>
        <w:t>LightGBM gradient-boosted trees track short-term non-linear momentum, rolling standard deviations, and live fuel price shifts between Brent Crude and Marine Bunker fuel.</w:t>
      </w:r>
    </w:p>
    <w:p>
      <w:pPr>
        <w:pStyle w:val="ListBullet"/>
        <w:spacing w:after="60" w:line="276" w:lineRule="auto"/>
      </w:pPr>
      <w:r>
        <w:rPr>
          <w:rFonts w:ascii="Calibri" w:hAnsi="Calibri"/>
          <w:b/>
          <w:color w:val="323232"/>
          <w:sz w:val="21"/>
        </w:rPr>
        <w:t xml:space="preserve">For Days 16 to 60 (Medium-Term Cycles): </w:t>
      </w:r>
      <w:r>
        <w:rPr>
          <w:rFonts w:ascii="Calibri" w:hAnsi="Calibri"/>
          <w:color w:val="323232"/>
          <w:sz w:val="21"/>
        </w:rPr>
        <w:t>Facebook Prophet models quarterly industrial cycles and monsoon patterns, trained directly on 25 years of real Kaggle historical Baltic Dry Index data from 2000 to 2024.</w:t>
      </w:r>
    </w:p>
    <w:p>
      <w:pPr>
        <w:spacing w:after="80" w:line="276" w:lineRule="auto"/>
      </w:pPr>
      <w:r>
        <w:rPr>
          <w:rFonts w:ascii="Calibri" w:hAnsi="Calibri"/>
          <w:color w:val="323232"/>
          <w:sz w:val="21"/>
        </w:rPr>
        <w:t>Notice this shaded blue band: that is our 80% Statistical Confidence Interval. A procurement officer at SAIL does not just get a guess — they see quantitative best-case and worst-case bounds, allowing them to hedge and tender at the perfect market dip.</w:t>
      </w:r>
    </w:p>
    <w:p>
      <w:pPr>
        <w:spacing w:after="80" w:line="276" w:lineRule="auto"/>
      </w:pPr>
      <w:r>
        <w:rPr>
          <w:rFonts w:ascii="Calibri" w:hAnsi="Calibri"/>
          <w:color w:val="323232"/>
          <w:sz w:val="21"/>
        </w:rPr>
        <w:t>Furthermore, look at our Disruption Simulator: with one click, we can simulate a Suez Canal blockage, a Red Sea crisis, or a Bay of Bengal cyclone, and the model instantly applies validated historical shock multipliers to stress-test our fleet."</w:t>
      </w:r>
    </w:p>
    <w:p>
      <w:pPr>
        <w:keepNext/>
        <w:spacing w:before="240" w:after="80"/>
      </w:pPr>
      <w:r>
        <w:rPr>
          <w:rFonts w:ascii="Calibri" w:hAnsi="Calibri"/>
          <w:b/>
          <w:color w:val="1E5A96"/>
          <w:sz w:val="26"/>
        </w:rPr>
        <w:t>Minute 3: The Grand Finale — Mathematical Optimization &amp; Real Savings (2:00 – 3:00)</w:t>
      </w:r>
    </w:p>
    <w:p>
      <w:pPr>
        <w:spacing w:after="80" w:line="276" w:lineRule="auto"/>
      </w:pPr>
      <w:r>
        <w:rPr>
          <w:rFonts w:ascii="Calibri" w:hAnsi="Calibri"/>
          <w:i/>
          <w:color w:val="1E5A96"/>
          <w:sz w:val="21"/>
        </w:rPr>
        <w:t xml:space="preserve">SCREEN ACTION: </w:t>
      </w:r>
      <w:r>
        <w:rPr>
          <w:rFonts w:ascii="Calibri" w:hAnsi="Calibri"/>
          <w:color w:val="323232"/>
          <w:sz w:val="21"/>
        </w:rPr>
        <w:t>[In the Optimization Console: select 'Haldia' as Target Port, set Volume to '150,000 MT', Origin to 'Australia', Horizon to '30 Days', and click the glowing 'Run MILP Optimization Model' button]</w:t>
      </w:r>
    </w:p>
    <w:p>
      <w:pPr>
        <w:spacing w:after="80" w:line="276" w:lineRule="auto"/>
      </w:pPr>
      <w:r>
        <w:rPr>
          <w:rFonts w:ascii="Calibri" w:hAnsi="Calibri"/>
          <w:b/>
          <w:color w:val="323232"/>
          <w:sz w:val="21"/>
        </w:rPr>
        <w:t xml:space="preserve">SPEAKER: </w:t>
      </w:r>
      <w:r>
        <w:rPr>
          <w:rFonts w:ascii="Calibri" w:hAnsi="Calibri"/>
          <w:color w:val="323232"/>
          <w:sz w:val="21"/>
        </w:rPr>
        <w:t>"Now, here is our game-changer. Prediction alone does not book ships; Operations Research does.</w:t>
      </w:r>
    </w:p>
    <w:p>
      <w:pPr>
        <w:spacing w:after="80" w:line="276" w:lineRule="auto"/>
      </w:pPr>
      <w:r>
        <w:rPr>
          <w:rFonts w:ascii="Calibri" w:hAnsi="Calibri"/>
          <w:color w:val="323232"/>
          <w:sz w:val="21"/>
        </w:rPr>
        <w:t>Watch what happens when we need to move 150,000 Metric Tonnes of coking coal from Australia to Haldia Port:</w:t>
      </w:r>
    </w:p>
    <w:p>
      <w:pPr>
        <w:spacing w:after="80" w:line="276" w:lineRule="auto"/>
      </w:pPr>
      <w:r>
        <w:rPr>
          <w:rFonts w:ascii="Calibri" w:hAnsi="Calibri"/>
          <w:color w:val="323232"/>
          <w:sz w:val="21"/>
        </w:rPr>
        <w:t>A naive planner might look for the cheapest single ship — a 150,000-tonne Capesize bulker. But Haldia's channel depth is only 12.0 meters, while a Capesize requires 17.0 meters. Booking it would cause a grounding disaster.</w:t>
      </w:r>
    </w:p>
    <w:p>
      <w:pPr>
        <w:spacing w:after="80" w:line="276" w:lineRule="auto"/>
      </w:pPr>
      <w:r>
        <w:rPr>
          <w:rFonts w:ascii="Calibri" w:hAnsi="Calibri"/>
          <w:color w:val="323232"/>
          <w:sz w:val="21"/>
        </w:rPr>
        <w:t>Our Mixed-Integer Linear Programming (MILP) solver, powered by the PuLP CBC algorithm, evaluates the entire decision matrix in just 100 milliseconds:</w:t>
      </w:r>
    </w:p>
    <w:p>
      <w:pPr>
        <w:pStyle w:val="ListBullet"/>
        <w:spacing w:after="60" w:line="276" w:lineRule="auto"/>
      </w:pPr>
      <w:r>
        <w:rPr>
          <w:rFonts w:ascii="Calibri" w:hAnsi="Calibri"/>
          <w:b/>
          <w:color w:val="323232"/>
          <w:sz w:val="21"/>
        </w:rPr>
        <w:t xml:space="preserve">1. Physical Draft Filter: </w:t>
      </w:r>
      <w:r>
        <w:rPr>
          <w:rFonts w:ascii="Calibri" w:hAnsi="Calibri"/>
          <w:color w:val="323232"/>
          <w:sz w:val="21"/>
        </w:rPr>
        <w:t>It automatically identifies that Capesize (17m) and Panamax (14m) cannot enter Haldia and eliminates them.</w:t>
      </w:r>
    </w:p>
    <w:p>
      <w:pPr>
        <w:pStyle w:val="ListBullet"/>
        <w:spacing w:after="60" w:line="276" w:lineRule="auto"/>
      </w:pPr>
      <w:r>
        <w:rPr>
          <w:rFonts w:ascii="Calibri" w:hAnsi="Calibri"/>
          <w:b/>
          <w:color w:val="323232"/>
          <w:sz w:val="21"/>
        </w:rPr>
        <w:t xml:space="preserve">2. Integer Parcel Allocation: </w:t>
      </w:r>
      <w:r>
        <w:rPr>
          <w:rFonts w:ascii="Calibri" w:hAnsi="Calibri"/>
          <w:color w:val="323232"/>
          <w:sz w:val="21"/>
        </w:rPr>
        <w:t>It calculates that exactly three 50,000 MT Supramax bulkers are needed to satisfy 100% of the demand.</w:t>
      </w:r>
    </w:p>
    <w:p>
      <w:pPr>
        <w:pStyle w:val="ListBullet"/>
        <w:spacing w:after="60" w:line="276" w:lineRule="auto"/>
      </w:pPr>
      <w:r>
        <w:rPr>
          <w:rFonts w:ascii="Calibri" w:hAnsi="Calibri"/>
          <w:b/>
          <w:color w:val="323232"/>
          <w:sz w:val="21"/>
        </w:rPr>
        <w:t xml:space="preserve">3. Congestion Avoidance: </w:t>
      </w:r>
      <w:r>
        <w:rPr>
          <w:rFonts w:ascii="Calibri" w:hAnsi="Calibri"/>
          <w:color w:val="323232"/>
          <w:sz w:val="21"/>
        </w:rPr>
        <w:t>It staggers departure dates to take advantage of upcoming market rate dips while avoiding berth congestion queues.</w:t>
      </w:r>
    </w:p>
    <w:p>
      <w:pPr>
        <w:spacing w:after="80" w:line="276" w:lineRule="auto"/>
      </w:pPr>
      <w:r>
        <w:rPr>
          <w:rFonts w:ascii="Calibri" w:hAnsi="Calibri"/>
          <w:i/>
          <w:color w:val="1E5A96"/>
          <w:sz w:val="21"/>
        </w:rPr>
        <w:t xml:space="preserve">SCREEN ACTION: </w:t>
      </w:r>
      <w:r>
        <w:rPr>
          <w:rFonts w:ascii="Calibri" w:hAnsi="Calibri"/>
          <w:color w:val="323232"/>
          <w:sz w:val="21"/>
        </w:rPr>
        <w:t>[Point triumphantly to the Green KPI Cards on the screen]</w:t>
      </w:r>
    </w:p>
    <w:p>
      <w:pPr>
        <w:spacing w:after="80" w:line="276" w:lineRule="auto"/>
      </w:pPr>
      <w:r>
        <w:rPr>
          <w:rFonts w:ascii="Calibri" w:hAnsi="Calibri"/>
          <w:color w:val="323232"/>
          <w:sz w:val="21"/>
        </w:rPr>
        <w:t>Look at the final result: 100% cargo delivered on time, zero draft violations, zero demurrage, and a net savings of $416,000 — over ₹3.45 Crore saved in a single procurement cycle!</w:t>
      </w:r>
    </w:p>
    <w:p>
      <w:pPr>
        <w:spacing w:after="80" w:line="276" w:lineRule="auto"/>
      </w:pPr>
      <w:r>
        <w:rPr>
          <w:rFonts w:ascii="Calibri" w:hAnsi="Calibri"/>
          <w:color w:val="323232"/>
          <w:sz w:val="21"/>
        </w:rPr>
        <w:t>Scaled across all Indian steel plants, this saves over ₹100 Crore annually. That is the power of Freight DSS. Jai Hind, and we welcome your questions!"</w:t>
      </w:r>
    </w:p>
    <w:p>
      <w:pPr>
        <w:keepNext/>
        <w:spacing w:before="320" w:after="120"/>
      </w:pPr>
      <w:r>
        <w:rPr>
          <w:rFonts w:ascii="Calibri" w:hAnsi="Calibri"/>
          <w:b/>
          <w:color w:val="003366"/>
          <w:sz w:val="32"/>
        </w:rPr>
        <w:t>4. Emergency Contingency &amp; Demonstration Guardrails</w:t>
      </w:r>
    </w:p>
    <w:p>
      <w:pPr>
        <w:pStyle w:val="ListBullet"/>
        <w:spacing w:after="60" w:line="276" w:lineRule="auto"/>
      </w:pPr>
      <w:r>
        <w:rPr>
          <w:rFonts w:ascii="Calibri" w:hAnsi="Calibri"/>
          <w:b/>
          <w:color w:val="323232"/>
          <w:sz w:val="21"/>
        </w:rPr>
        <w:t xml:space="preserve">WiFi Drops: </w:t>
      </w:r>
      <w:r>
        <w:rPr>
          <w:rFonts w:ascii="Calibri" w:hAnsi="Calibri"/>
          <w:color w:val="323232"/>
          <w:sz w:val="21"/>
        </w:rPr>
        <w:t>If Vercel cloud has WiFi latency, instantly switch to the pre-loaded localhost:3000 tab. It runs identical code with local SQLite fallback.</w:t>
      </w:r>
    </w:p>
    <w:p>
      <w:pPr>
        <w:pStyle w:val="ListBullet"/>
        <w:spacing w:after="60" w:line="276" w:lineRule="auto"/>
      </w:pPr>
      <w:r>
        <w:rPr>
          <w:rFonts w:ascii="Calibri" w:hAnsi="Calibri"/>
          <w:b/>
          <w:color w:val="323232"/>
          <w:sz w:val="21"/>
        </w:rPr>
        <w:t xml:space="preserve">If Judges Ask Why Haldia Rejects Capesize: </w:t>
      </w:r>
      <w:r>
        <w:rPr>
          <w:rFonts w:ascii="Calibri" w:hAnsi="Calibri"/>
          <w:color w:val="323232"/>
          <w:sz w:val="21"/>
        </w:rPr>
        <w:t>Explain that Haldia is a riverine port on the Hooghly river where siltation limits draft to 12m, while Paradip has an outer deepwater harbor of 17.5m. Mentioning this real engineering fact immediately wins over Ministry judges.</w:t>
      </w:r>
    </w:p>
    <w:p>
      <w:pPr>
        <w:pStyle w:val="ListBullet"/>
        <w:spacing w:after="60" w:line="276" w:lineRule="auto"/>
      </w:pPr>
      <w:r>
        <w:rPr>
          <w:rFonts w:ascii="Calibri" w:hAnsi="Calibri"/>
          <w:b/>
          <w:color w:val="323232"/>
          <w:sz w:val="21"/>
        </w:rPr>
        <w:t xml:space="preserve">If Evaluators Ask About Integers: </w:t>
      </w:r>
      <w:r>
        <w:rPr>
          <w:rFonts w:ascii="Calibri" w:hAnsi="Calibri"/>
          <w:color w:val="323232"/>
          <w:sz w:val="21"/>
        </w:rPr>
        <w:t>Highlight that MILP uses integer variables (x_v,t in {0,1,2...}). You cannot charter 1.4 ships; the solver enforces whole, non-divisible vessel charters.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