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3366"/>
          <w:sz w:val="48"/>
        </w:rPr>
        <w:t>Freight DSS | SIH26006</w:t>
      </w:r>
    </w:p>
    <w:p>
      <w:pPr>
        <w:spacing w:after="160"/>
        <w:jc w:val="center"/>
      </w:pPr>
      <w:r>
        <w:rPr>
          <w:rFonts w:ascii="Calibri" w:hAnsi="Calibri"/>
          <w:i/>
          <w:color w:val="1E5A96"/>
          <w:sz w:val="26"/>
        </w:rPr>
        <w:t>Comprehensive Judge &amp; Jury Q&amp;A Defense Master Guide</w:t>
      </w:r>
    </w:p>
    <w:p>
      <w:pPr>
        <w:spacing w:after="360"/>
        <w:jc w:val="center"/>
      </w:pPr>
      <w:r>
        <w:rPr>
          <w:rFonts w:ascii="Calibri" w:hAnsi="Calibri"/>
          <w:b/>
          <w:color w:val="323232"/>
          <w:sz w:val="19"/>
        </w:rPr>
        <w:t>15 High-Probability Questions &amp; Model Answers | Target: Ministry of Steel, PSU Officers &amp; AI/OR Evaluators | Format: Executive Summary + Beginner Analogy + Deep Technical Defense</w:t>
      </w:r>
    </w:p>
    <w:p>
      <w:pPr>
        <w:spacing w:after="240"/>
        <w:pBdr>
          <w:bottom w:val="single" w:sz="12" w:space="1" w:color="003366"/>
        </w:pBdr>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003366"/>
              <w:top w:val="none"/>
              <w:right w:val="none"/>
              <w:bottom w:val="none"/>
            </w:tcBorders>
          </w:tcPr>
          <w:p>
            <w:pPr>
              <w:spacing w:after="40"/>
            </w:pPr>
            <w:r>
              <w:rPr>
                <w:rFonts w:ascii="Calibri" w:hAnsi="Calibri"/>
                <w:b/>
                <w:color w:val="003366"/>
                <w:sz w:val="22"/>
              </w:rPr>
              <w:t>📌 HOW TO USE THIS DEFENSE GUIDE</w:t>
              <w:br/>
            </w:r>
            <w:r>
              <w:rPr>
                <w:rFonts w:ascii="Calibri" w:hAnsi="Calibri"/>
                <w:color w:val="323232"/>
                <w:sz w:val="20"/>
              </w:rPr>
              <w:t>Every answer follows a three-part structure: (1) An Executive 1-Sentence Takeaway for immediate clarity, (2) A Beginner-Friendly Analogy so non-technical ministry evaluators understand the common-sense logic, and (3) A Deep Technical Defense with mathematical formulas, algorithms, and architectural proof for engineering judges.</w:t>
            </w:r>
          </w:p>
        </w:tc>
      </w:tr>
    </w:tbl>
    <w:p>
      <w:pPr>
        <w:spacing w:after="120"/>
      </w:pPr>
    </w:p>
    <w:p>
      <w:pPr>
        <w:keepNext/>
        <w:spacing w:before="320" w:after="120"/>
      </w:pPr>
      <w:r>
        <w:rPr>
          <w:rFonts w:ascii="Calibri" w:hAnsi="Calibri"/>
          <w:b/>
          <w:color w:val="003366"/>
          <w:sz w:val="32"/>
        </w:rPr>
        <w:t>Q1: Why did you use Mixed-Integer Linear Programming (MILP) instead of Reinforcement Learning (RL) or Genetic Algorithms?</w:t>
      </w:r>
    </w:p>
    <w:p>
      <w:pPr>
        <w:spacing w:after="80" w:line="276" w:lineRule="auto"/>
      </w:pPr>
      <w:r>
        <w:rPr>
          <w:rFonts w:ascii="Calibri" w:hAnsi="Calibri"/>
          <w:b/>
          <w:color w:val="323232"/>
          <w:sz w:val="21"/>
        </w:rPr>
        <w:t xml:space="preserve">🎯 Executive Takeaway: </w:t>
      </w:r>
      <w:r>
        <w:rPr>
          <w:rFonts w:ascii="Calibri" w:hAnsi="Calibri"/>
          <w:color w:val="323232"/>
          <w:sz w:val="21"/>
        </w:rPr>
        <w:t>MILP guarantees a mathematically optimal, 100% reproducible solution that satisfies all physical constraints with zero risk of illegal actions.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Imagine packing a school bus: Reinforcement Learning is like letting a robot try random arrangements until it figures it out — sometimes it might try putting a bicycle through the roof! MILP is like a master architect using geometry to prove the single best way to fit every box without breaking any windows.</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In government PSU audits (CVC/CAG), procurement decisions cannot rely on stochastic approximations. Genetic Algorithms and RL are heuristic and cannot guarantee optimality. Furthermore, RL requires penalty rewards that frequently violate hard physical constraints (e.g. ship draft &gt; channel depth) during exploration. Using PuLP with the COIN-OR CBC Branch-and-Cut solver, our MILP formulation solves in &lt;120 milliseconds with complete mathematical determinism.</w:t>
      </w:r>
    </w:p>
    <w:p>
      <w:pPr>
        <w:spacing w:after="160"/>
        <w:pBdr>
          <w:bottom w:val="dotted" w:sz="6" w:space="1" w:color="CCCCCC"/>
        </w:pBdr>
      </w:pPr>
    </w:p>
    <w:p>
      <w:pPr>
        <w:keepNext/>
        <w:spacing w:before="320" w:after="120"/>
      </w:pPr>
      <w:r>
        <w:rPr>
          <w:rFonts w:ascii="Calibri" w:hAnsi="Calibri"/>
          <w:b/>
          <w:color w:val="003366"/>
          <w:sz w:val="32"/>
        </w:rPr>
        <w:t>Q2: Why use a two-tier hybrid model (LightGBM + Prophet) instead of an end-to-end Deep Learning model like LSTM or Transformers?</w:t>
      </w:r>
    </w:p>
    <w:p>
      <w:pPr>
        <w:spacing w:after="80" w:line="276" w:lineRule="auto"/>
      </w:pPr>
      <w:r>
        <w:rPr>
          <w:rFonts w:ascii="Calibri" w:hAnsi="Calibri"/>
          <w:b/>
          <w:color w:val="323232"/>
          <w:sz w:val="21"/>
        </w:rPr>
        <w:t xml:space="preserve">🎯 Executive Takeaway: </w:t>
      </w:r>
      <w:r>
        <w:rPr>
          <w:rFonts w:ascii="Calibri" w:hAnsi="Calibri"/>
          <w:color w:val="323232"/>
          <w:sz w:val="21"/>
        </w:rPr>
        <w:t>Freight rates have two completely different mathematical personalities: short-term volatility driven by fuel, and long-term cycles driven by seasons; splitting them yields far higher accuracy and avoids deep learning overfitting.</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Think of weather and climate: predicting if it will rain tomorrow requires looking at today's wind and humidity (LightGBM). Predicting if next July will be hot requires looking at the calendar and 25-year summer trends (Prophet). You wouldn't use the same thermometer for both!</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Daily freight indices have only ~250 trading records per year. Deep neural networks (LSTMs, TFTs) require tens of thousands of sequential points, making them prone to severe overfitting on small macro time-series. LightGBM handles high-frequency non-linear feature interactions (7-day volatility, lags, bunker fuel covariance) for Days 1-15. Prophet decomposes additive yearly seasonality and macroeconomic trends for Days 16-60 using our 25-year Kaggle dataset, complete with formal 80% confidence interval envelopes.</w:t>
      </w:r>
    </w:p>
    <w:p>
      <w:pPr>
        <w:spacing w:after="160"/>
        <w:pBdr>
          <w:bottom w:val="dotted" w:sz="6" w:space="1" w:color="CCCCCC"/>
        </w:pBdr>
      </w:pPr>
    </w:p>
    <w:p>
      <w:pPr>
        <w:keepNext/>
        <w:spacing w:before="320" w:after="120"/>
      </w:pPr>
      <w:r>
        <w:rPr>
          <w:rFonts w:ascii="Calibri" w:hAnsi="Calibri"/>
          <w:b/>
          <w:color w:val="003366"/>
          <w:sz w:val="32"/>
        </w:rPr>
        <w:t>Q3: Where does your training data come from, and how realistic is it?</w:t>
      </w:r>
    </w:p>
    <w:p>
      <w:pPr>
        <w:spacing w:after="80" w:line="276" w:lineRule="auto"/>
      </w:pPr>
      <w:r>
        <w:rPr>
          <w:rFonts w:ascii="Calibri" w:hAnsi="Calibri"/>
          <w:b/>
          <w:color w:val="323232"/>
          <w:sz w:val="21"/>
        </w:rPr>
        <w:t xml:space="preserve">🎯 Executive Takeaway: </w:t>
      </w:r>
      <w:r>
        <w:rPr>
          <w:rFonts w:ascii="Calibri" w:hAnsi="Calibri"/>
          <w:color w:val="323232"/>
          <w:sz w:val="21"/>
        </w:rPr>
        <w:t>Our data is grounded in 25 years of authentic Kaggle Baltic Dry Index records (2000-2024), live Yahoo Finance macroeconomic indicators, and calibrated Indian port specifications.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We do not make up fake numbers. We downloaded 25 years of real global shipping history — including the 2008 financial crash, the 2020 COVID lockdowns, and the 2021 Suez Canal blockage — so our model has learned how ships behave during real historical crises.</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Specifically: (1) ml_engine/data_pipeline/raw_data/shipping_rates.csv provides 300 monthly periods (2000-2024) of Baltic Dry Index, container rates, and supply chain pressure. (2) yfinance streams live Brent Crude (BZ=F) and USD/INR (USDINR=X). (3) Port parameters (drafts, waiting queues, berth limits) are calibrated to real operational baselines across Paradip, Visakhapatnam, Haldia, Dhamra, and Kandla.</w:t>
      </w:r>
    </w:p>
    <w:p>
      <w:pPr>
        <w:spacing w:after="160"/>
        <w:pBdr>
          <w:bottom w:val="dotted" w:sz="6" w:space="1" w:color="CCCCCC"/>
        </w:pBdr>
      </w:pPr>
    </w:p>
    <w:p>
      <w:pPr>
        <w:keepNext/>
        <w:spacing w:before="320" w:after="120"/>
      </w:pPr>
      <w:r>
        <w:rPr>
          <w:rFonts w:ascii="Calibri" w:hAnsi="Calibri"/>
          <w:b/>
          <w:color w:val="003366"/>
          <w:sz w:val="32"/>
        </w:rPr>
        <w:t>Q4: How does the system physically enforce port draft limitations (e.g. Haldia vs. Paradip)?</w:t>
      </w:r>
    </w:p>
    <w:p>
      <w:pPr>
        <w:spacing w:after="80" w:line="276" w:lineRule="auto"/>
      </w:pPr>
      <w:r>
        <w:rPr>
          <w:rFonts w:ascii="Calibri" w:hAnsi="Calibri"/>
          <w:b/>
          <w:color w:val="323232"/>
          <w:sz w:val="21"/>
        </w:rPr>
        <w:t xml:space="preserve">🎯 Executive Takeaway: </w:t>
      </w:r>
      <w:r>
        <w:rPr>
          <w:rFonts w:ascii="Calibri" w:hAnsi="Calibri"/>
          <w:color w:val="323232"/>
          <w:sz w:val="21"/>
        </w:rPr>
        <w:t>The optimizer enforces an absolute mathematical constraint that sets vessel count to zero if the vessel's required draft exceeds the port's maximum safe channel depth.</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You cannot drive a double-decker bus under a low bridge. Similarly, a giant Capesize ship sits 17 meters deep in the water, but Haldia Port only has 12 meters of water. If you try to take a Capesize into Haldia, it gets stuck in the mud. Our system blocks this before a contract is ever signed.</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In our MILP model: x[v,t] = 0 for all v where Draft(v) &gt; MaxDraft(p). For Haldia (12.0m max), Capesize (17.0m draft) and Panamax (14.0m draft) are hard-pruned from the decision space. The solver is forced to allocate only Supramax vessels (11.0m draft), preventing deadfreight penalties and catastrophic grounding.</w:t>
      </w:r>
    </w:p>
    <w:p>
      <w:pPr>
        <w:spacing w:after="160"/>
        <w:pBdr>
          <w:bottom w:val="dotted" w:sz="6" w:space="1" w:color="CCCCCC"/>
        </w:pBdr>
      </w:pPr>
    </w:p>
    <w:p>
      <w:pPr>
        <w:keepNext/>
        <w:spacing w:before="320" w:after="120"/>
      </w:pPr>
      <w:r>
        <w:rPr>
          <w:rFonts w:ascii="Calibri" w:hAnsi="Calibri"/>
          <w:b/>
          <w:color w:val="003366"/>
          <w:sz w:val="32"/>
        </w:rPr>
        <w:t>Q5: How are port demurrage penalties ($25,000/day) integrated into the optimization cost function?</w:t>
      </w:r>
    </w:p>
    <w:p>
      <w:pPr>
        <w:spacing w:after="80" w:line="276" w:lineRule="auto"/>
      </w:pPr>
      <w:r>
        <w:rPr>
          <w:rFonts w:ascii="Calibri" w:hAnsi="Calibri"/>
          <w:b/>
          <w:color w:val="323232"/>
          <w:sz w:val="21"/>
        </w:rPr>
        <w:t xml:space="preserve">🎯 Executive Takeaway: </w:t>
      </w:r>
      <w:r>
        <w:rPr>
          <w:rFonts w:ascii="Calibri" w:hAnsi="Calibri"/>
          <w:color w:val="323232"/>
          <w:sz w:val="21"/>
        </w:rPr>
        <w:t>Demurrage is not treated as an afterthought; it is directly added to voyage freight inside the unified Total Landed Cost objective function.</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If hiring a taxi costs ₹500, but waiting in traffic for 2 hours costs another ₹1,000 in waiting fees, the true cost of your trip is ₹1,500. Our system looks at both the boat ride price and the parking queue price before deciding when to send the boat.</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Objective Function: min sum(Freight_rate * Capacity * Route_multiplier + Demurrage_rate * Waiting_days) * x[v,t]. At $25,000/day standard demurrage, a 48-hour delay adds $50,000 to a vessel's landed cost. If Visakhapatnam has a 3-day queue during monsoon, the solver automatically postpones departure or selects a port with lower turnaround delay to minimize aggregate cost.</w:t>
      </w:r>
    </w:p>
    <w:p>
      <w:pPr>
        <w:spacing w:after="160"/>
        <w:pBdr>
          <w:bottom w:val="dotted" w:sz="6" w:space="1" w:color="CCCCCC"/>
        </w:pBdr>
      </w:pPr>
    </w:p>
    <w:p>
      <w:pPr>
        <w:keepNext/>
        <w:spacing w:before="320" w:after="120"/>
      </w:pPr>
      <w:r>
        <w:rPr>
          <w:rFonts w:ascii="Calibri" w:hAnsi="Calibri"/>
          <w:b/>
          <w:color w:val="003366"/>
          <w:sz w:val="32"/>
        </w:rPr>
        <w:t>Q6: How does the system handle sudden black-swan maritime disruptions (Suez crisis, Red Sea attacks, cyclones)?</w:t>
      </w:r>
    </w:p>
    <w:p>
      <w:pPr>
        <w:spacing w:after="80" w:line="276" w:lineRule="auto"/>
      </w:pPr>
      <w:r>
        <w:rPr>
          <w:rFonts w:ascii="Calibri" w:hAnsi="Calibri"/>
          <w:b/>
          <w:color w:val="323232"/>
          <w:sz w:val="21"/>
        </w:rPr>
        <w:t xml:space="preserve">🎯 Executive Takeaway: </w:t>
      </w:r>
      <w:r>
        <w:rPr>
          <w:rFonts w:ascii="Calibri" w:hAnsi="Calibri"/>
          <w:color w:val="323232"/>
          <w:sz w:val="21"/>
        </w:rPr>
        <w:t>We built a calibrated Disruption Stress Testing Engine that applies empirical historical shock multipliers to freight rates and port waiting queues.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When a highway gets blocked by an accident, Uber surge pricing kicks in. When the Suez Canal was blocked by the Ever Given, ships had to sail all the way around Africa, making freight prices surge by 45%. Our dashboard lets officers test 'What if Suez blocks tomorrow?' with one click.</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Our disruption engine maps real historical crises from Kaggle's disruption_events.csv: Suez Canal blockage (+45% BDI shock), Red Sea security crisis (+35% shock), Panama drought (+25% route diversion penalty), and Bay of Bengal cyclones (+48 hours port queue). Users can simulate any event and re-optimize schedules in under 100 milliseconds.</w:t>
      </w:r>
    </w:p>
    <w:p>
      <w:pPr>
        <w:spacing w:after="160"/>
        <w:pBdr>
          <w:bottom w:val="dotted" w:sz="6" w:space="1" w:color="CCCCCC"/>
        </w:pBdr>
      </w:pPr>
    </w:p>
    <w:p>
      <w:pPr>
        <w:keepNext/>
        <w:spacing w:before="320" w:after="120"/>
      </w:pPr>
      <w:r>
        <w:rPr>
          <w:rFonts w:ascii="Calibri" w:hAnsi="Calibri"/>
          <w:b/>
          <w:color w:val="003366"/>
          <w:sz w:val="32"/>
        </w:rPr>
        <w:t>Q7: How do you account for different origin trade lanes (e.g. Australia vs. Indonesia)?</w:t>
      </w:r>
    </w:p>
    <w:p>
      <w:pPr>
        <w:spacing w:after="80" w:line="276" w:lineRule="auto"/>
      </w:pPr>
      <w:r>
        <w:rPr>
          <w:rFonts w:ascii="Calibri" w:hAnsi="Calibri"/>
          <w:b/>
          <w:color w:val="323232"/>
          <w:sz w:val="21"/>
        </w:rPr>
        <w:t xml:space="preserve">🎯 Executive Takeaway: </w:t>
      </w:r>
      <w:r>
        <w:rPr>
          <w:rFonts w:ascii="Calibri" w:hAnsi="Calibri"/>
          <w:color w:val="323232"/>
          <w:sz w:val="21"/>
        </w:rPr>
        <w:t>We incorporate nautical route distance multipliers that scale freight rates based on actual sailing distances to the Indian east coast.</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Taking an auto-rickshaw for 10 kilometers costs more than taking it for 5 kilometers. Shipping coking coal from Australia is a 5,200 nautical mile journey, whereas shipping thermal coal from Indonesia is only 2,600 nautical miles.</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Route Multipliers: Australia (Newcastle) is normalized to 1.0 (5,200 NM). Indonesia (Samarinda) is set to 0.85 (2,600 NM shorter round-trip). The freight component of the objective function scales as F[v,t] * C[v] * R[m], ensuring the charter cost accurately reflects voyage bunker consumption and transit days.</w:t>
      </w:r>
    </w:p>
    <w:p>
      <w:pPr>
        <w:spacing w:after="160"/>
        <w:pBdr>
          <w:bottom w:val="dotted" w:sz="6" w:space="1" w:color="CCCCCC"/>
        </w:pBdr>
      </w:pPr>
    </w:p>
    <w:p>
      <w:pPr>
        <w:keepNext/>
        <w:spacing w:before="320" w:after="120"/>
      </w:pPr>
      <w:r>
        <w:rPr>
          <w:rFonts w:ascii="Calibri" w:hAnsi="Calibri"/>
          <w:b/>
          <w:color w:val="003366"/>
          <w:sz w:val="32"/>
        </w:rPr>
        <w:t>Q8: How does this system integrate with legacy PSU ERP systems (SAIL/RINL SAP S/4HANA or MSTC e-Procurement)?</w:t>
      </w:r>
    </w:p>
    <w:p>
      <w:pPr>
        <w:spacing w:after="80" w:line="276" w:lineRule="auto"/>
      </w:pPr>
      <w:r>
        <w:rPr>
          <w:rFonts w:ascii="Calibri" w:hAnsi="Calibri"/>
          <w:b/>
          <w:color w:val="323232"/>
          <w:sz w:val="21"/>
        </w:rPr>
        <w:t xml:space="preserve">🎯 Executive Takeaway: </w:t>
      </w:r>
      <w:r>
        <w:rPr>
          <w:rFonts w:ascii="Calibri" w:hAnsi="Calibri"/>
          <w:color w:val="323232"/>
          <w:sz w:val="21"/>
        </w:rPr>
        <w:t>Via standardized asynchronous RESTful JSON APIs and Postgres ODBC/JDBC connectors that fit directly into enterprise procurement workflows.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Our software is like a smart plug: you don't need to rebuild the house to plug in a new TV. Any existing government ERP can send a purchase request to our API and get an optimized ship schedule back in less than a second.</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FastAPI exposes well-defined OpenAPI/Swagger endpoints. A simple POST /api/v1/optimize payload from SAP S/4HANA returns structured JSON containing PO dates, vessel parcel sizes, target discharge berths, expected demurrage, and estimated INR/USD expenditure. The Neon PostgreSQL database supports standard SAP Data Services and PowerBI/Tableau executive connectors.</w:t>
      </w:r>
    </w:p>
    <w:p>
      <w:pPr>
        <w:spacing w:after="160"/>
        <w:pBdr>
          <w:bottom w:val="dotted" w:sz="6" w:space="1" w:color="CCCCCC"/>
        </w:pBdr>
      </w:pPr>
    </w:p>
    <w:p>
      <w:pPr>
        <w:keepNext/>
        <w:spacing w:before="320" w:after="120"/>
      </w:pPr>
      <w:r>
        <w:rPr>
          <w:rFonts w:ascii="Calibri" w:hAnsi="Calibri"/>
          <w:b/>
          <w:color w:val="003366"/>
          <w:sz w:val="32"/>
        </w:rPr>
        <w:t>Q9: How do you handle Contracts of Affreightment (COA) versus Spot Market chartering?</w:t>
      </w:r>
    </w:p>
    <w:p>
      <w:pPr>
        <w:spacing w:after="80" w:line="276" w:lineRule="auto"/>
      </w:pPr>
      <w:r>
        <w:rPr>
          <w:rFonts w:ascii="Calibri" w:hAnsi="Calibri"/>
          <w:b/>
          <w:color w:val="323232"/>
          <w:sz w:val="21"/>
        </w:rPr>
        <w:t xml:space="preserve">🎯 Executive Takeaway: </w:t>
      </w:r>
      <w:r>
        <w:rPr>
          <w:rFonts w:ascii="Calibri" w:hAnsi="Calibri"/>
          <w:color w:val="323232"/>
          <w:sz w:val="21"/>
        </w:rPr>
        <w:t>The optimizer easily handles both: fixed COA commitments are locked in as equality constraints, and the spot fleet is optimized around them.</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If your household has a monthly milk subscription for 2 liters a day (COA), but you are hosting a party and need 5 extra liters, you only buy the extra milk from the local store (Spot). Our model protects your subscription first and shops smartly for the rest.</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In mathematical terms, existing COA contracts are formulated as x[COA, t] = fixed_tonnage. The solver optimizes remaining volume across spot market vessels. Furthermore, if forward forecast spot rates dip below the COA price ceiling, the system triggers an arbitrage alert to maximize spot allocation within permissible tender policy bands.</w:t>
      </w:r>
    </w:p>
    <w:p>
      <w:pPr>
        <w:spacing w:after="160"/>
        <w:pBdr>
          <w:bottom w:val="dotted" w:sz="6" w:space="1" w:color="CCCCCC"/>
        </w:pBdr>
      </w:pPr>
    </w:p>
    <w:p>
      <w:pPr>
        <w:keepNext/>
        <w:spacing w:before="320" w:after="120"/>
      </w:pPr>
      <w:r>
        <w:rPr>
          <w:rFonts w:ascii="Calibri" w:hAnsi="Calibri"/>
          <w:b/>
          <w:color w:val="003366"/>
          <w:sz w:val="32"/>
        </w:rPr>
        <w:t>Q10: What happens if cloud services fail, the database disconnects, or the internet drops?</w:t>
      </w:r>
    </w:p>
    <w:p>
      <w:pPr>
        <w:spacing w:after="80" w:line="276" w:lineRule="auto"/>
      </w:pPr>
      <w:r>
        <w:rPr>
          <w:rFonts w:ascii="Calibri" w:hAnsi="Calibri"/>
          <w:b/>
          <w:color w:val="323232"/>
          <w:sz w:val="21"/>
        </w:rPr>
        <w:t xml:space="preserve">🎯 Executive Takeaway: </w:t>
      </w:r>
      <w:r>
        <w:rPr>
          <w:rFonts w:ascii="Calibri" w:hAnsi="Calibri"/>
          <w:color w:val="323232"/>
          <w:sz w:val="21"/>
        </w:rPr>
        <w:t>We engineered a multi-tier zero-downtime resilience architecture with serverless connection pooling, local SQLite fallback, and edge-cached static assets.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If your house's main municipal water pipe has maintenance, an automatic overhead reserve tank keeps your taps running without a single hiccup.</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Our backend uses SQLAlchemy with pool_pre_ping=True to automatically recover dropped Neon DB SSL connections. If Neon is completely unreachable, the system automatically falls back to a local SQLite database (sqlite:///./freight_dss.db) with pre-cached market telemetry. The Next.js frontend is deployed on Vercel's global CDN and continues rendering interactive cached forecast curves.</w:t>
      </w:r>
    </w:p>
    <w:p>
      <w:pPr>
        <w:spacing w:after="160"/>
        <w:pBdr>
          <w:bottom w:val="dotted" w:sz="6" w:space="1" w:color="CCCCCC"/>
        </w:pBdr>
      </w:pPr>
    </w:p>
    <w:p>
      <w:pPr>
        <w:keepNext/>
        <w:spacing w:before="320" w:after="120"/>
      </w:pPr>
      <w:r>
        <w:rPr>
          <w:rFonts w:ascii="Calibri" w:hAnsi="Calibri"/>
          <w:b/>
          <w:color w:val="003366"/>
          <w:sz w:val="32"/>
        </w:rPr>
        <w:t>Q11: How is the application deployed, and what is its production architecture?</w:t>
      </w:r>
    </w:p>
    <w:p>
      <w:pPr>
        <w:spacing w:after="80" w:line="276" w:lineRule="auto"/>
      </w:pPr>
      <w:r>
        <w:rPr>
          <w:rFonts w:ascii="Calibri" w:hAnsi="Calibri"/>
          <w:b/>
          <w:color w:val="323232"/>
          <w:sz w:val="21"/>
        </w:rPr>
        <w:t xml:space="preserve">🎯 Executive Takeaway: </w:t>
      </w:r>
      <w:r>
        <w:rPr>
          <w:rFonts w:ascii="Calibri" w:hAnsi="Calibri"/>
          <w:color w:val="323232"/>
          <w:sz w:val="21"/>
        </w:rPr>
        <w:t>It is deployed as a modern decoupled cloud system: Next.js 14 on Vercel Edge, FastAPI on Render, and serverless PostgreSQL on Neon DB.</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The frontend is the store showroom (fast, beautiful, hosted worldwide on Vercel). The backend is the factory kitchen (heavy math and ML models running on Render). The database is the vault (safe, encrypted, serverless on Neon).</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Vercel serves the Next.js App Router UI over global CDN with edge caching. Render runs the Python FastAPI service managed via Procfile with dynamic PORT binding (127.0.0.1:$PORT). Neon DB handles PostgreSQL relational hypertables with SSL encryption. Production CORS middleware is configured to permit preflight OPTIONS from all authorized domains.</w:t>
      </w:r>
    </w:p>
    <w:p>
      <w:pPr>
        <w:spacing w:after="160"/>
        <w:pBdr>
          <w:bottom w:val="dotted" w:sz="6" w:space="1" w:color="CCCCCC"/>
        </w:pBdr>
      </w:pPr>
    </w:p>
    <w:p>
      <w:pPr>
        <w:keepNext/>
        <w:spacing w:before="320" w:after="120"/>
      </w:pPr>
      <w:r>
        <w:rPr>
          <w:rFonts w:ascii="Calibri" w:hAnsi="Calibri"/>
          <w:b/>
          <w:color w:val="003366"/>
          <w:sz w:val="32"/>
        </w:rPr>
        <w:t>Q12: Why did you choose Neon Serverless PostgreSQL over standard MongoDB or MySQL?</w:t>
      </w:r>
    </w:p>
    <w:p>
      <w:pPr>
        <w:spacing w:after="80" w:line="276" w:lineRule="auto"/>
      </w:pPr>
      <w:r>
        <w:rPr>
          <w:rFonts w:ascii="Calibri" w:hAnsi="Calibri"/>
          <w:b/>
          <w:color w:val="323232"/>
          <w:sz w:val="21"/>
        </w:rPr>
        <w:t xml:space="preserve">🎯 Executive Takeaway: </w:t>
      </w:r>
      <w:r>
        <w:rPr>
          <w:rFonts w:ascii="Calibri" w:hAnsi="Calibri"/>
          <w:color w:val="323232"/>
          <w:sz w:val="21"/>
        </w:rPr>
        <w:t>Time-series market telemetry and relational procurement audit trails require ACID compliance, connection pooling, and sub-millisecond relational queries.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If you are running a bank ledger for millions of dollars in shipping contracts, you need a safe that never loses a penny (PostgreSQL ACID). A document store like MongoDB is great for blogs, but steel procurement requires strict relational schemas.</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Neon DB provides serverless autoscaling compute with instant branch-on-demand staging environments and built-in PgBouncer connection pooling. This allows hundreds of concurrent procurement queries without exhausting database connection limits during heavy tender bidding windows.</w:t>
      </w:r>
    </w:p>
    <w:p>
      <w:pPr>
        <w:spacing w:after="160"/>
        <w:pBdr>
          <w:bottom w:val="dotted" w:sz="6" w:space="1" w:color="CCCCCC"/>
        </w:pBdr>
      </w:pPr>
    </w:p>
    <w:p>
      <w:pPr>
        <w:keepNext/>
        <w:spacing w:before="320" w:after="120"/>
      </w:pPr>
      <w:r>
        <w:rPr>
          <w:rFonts w:ascii="Calibri" w:hAnsi="Calibri"/>
          <w:b/>
          <w:color w:val="003366"/>
          <w:sz w:val="32"/>
        </w:rPr>
        <w:t>Q13: How does the system comply with Government of India IT and Cybersecurity standards (MeitY/NIC)?</w:t>
      </w:r>
    </w:p>
    <w:p>
      <w:pPr>
        <w:spacing w:after="80" w:line="276" w:lineRule="auto"/>
      </w:pPr>
      <w:r>
        <w:rPr>
          <w:rFonts w:ascii="Calibri" w:hAnsi="Calibri"/>
          <w:b/>
          <w:color w:val="323232"/>
          <w:sz w:val="21"/>
        </w:rPr>
        <w:t xml:space="preserve">🎯 Executive Takeaway: </w:t>
      </w:r>
      <w:r>
        <w:rPr>
          <w:rFonts w:ascii="Calibri" w:hAnsi="Calibri"/>
          <w:color w:val="323232"/>
          <w:sz w:val="21"/>
        </w:rPr>
        <w:t>It is 100% open-source, stateless, and containerized with Docker — deployable within sovereign NIC Cloud, PSU private VPCs, or air-gapped internal servers.</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There are no foreign proprietary black-boxes. The entire system can be installed on an Indian government server inside SAIL or the Ministry of Steel without any data ever leaving the country.</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The architecture has zero proprietary SaaS dependencies. All libraries (FastAPI, PuLP, LightGBM, Prophet, PostgreSQL) are open-source. It complies with MeitY guidelines for data sovereignty, TLS 1.3 encryption in transit, parameterized SQL queries preventing SQL injection, and role-based access control (RBAC) readiness.</w:t>
      </w:r>
    </w:p>
    <w:p>
      <w:pPr>
        <w:spacing w:after="160"/>
        <w:pBdr>
          <w:bottom w:val="dotted" w:sz="6" w:space="1" w:color="CCCCCC"/>
        </w:pBdr>
      </w:pPr>
    </w:p>
    <w:p>
      <w:pPr>
        <w:keepNext/>
        <w:spacing w:before="320" w:after="120"/>
      </w:pPr>
      <w:r>
        <w:rPr>
          <w:rFonts w:ascii="Calibri" w:hAnsi="Calibri"/>
          <w:b/>
          <w:color w:val="003366"/>
          <w:sz w:val="32"/>
        </w:rPr>
        <w:t>Q14: What is the exact Return on Investment (ROI) and financial impact for SAIL, RINL, or NMDC?</w:t>
      </w:r>
    </w:p>
    <w:p>
      <w:pPr>
        <w:spacing w:after="80" w:line="276" w:lineRule="auto"/>
      </w:pPr>
      <w:r>
        <w:rPr>
          <w:rFonts w:ascii="Calibri" w:hAnsi="Calibri"/>
          <w:b/>
          <w:color w:val="323232"/>
          <w:sz w:val="21"/>
        </w:rPr>
        <w:t xml:space="preserve">🎯 Executive Takeaway: </w:t>
      </w:r>
      <w:r>
        <w:rPr>
          <w:rFonts w:ascii="Calibri" w:hAnsi="Calibri"/>
          <w:color w:val="323232"/>
          <w:sz w:val="21"/>
        </w:rPr>
        <w:t>A 3% to 5% savings on bulk maritime logistics saves an integrated steel PSU between ₹65 Crore and ₹110 Crore every single year.</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A steel plant is like a giant kitchen that spends ₹2,000 Crore a year just on grocery delivery fees. By timing the deliveries smartly and avoiding parking tickets, we save 3 to 5 paise on every rupee — which adds up to ₹100 Crore in real profit.</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Quantitative breakdown: An integrated steel producer importing 10 MT of coking coal spends approximately $200–$250 Million on ocean freight. Saving just $1.00/MT through optimized charter timing and parcel allocation saves $10 Million (₹83 Crore). Eliminating 20 days of demurrage across 60 vessel voyages saves another $500,000 (₹4+ Crore). The software pays for its development cost on the very first multi-vessel charter tender.</w:t>
      </w:r>
    </w:p>
    <w:p>
      <w:pPr>
        <w:spacing w:after="160"/>
        <w:pBdr>
          <w:bottom w:val="dotted" w:sz="6" w:space="1" w:color="CCCCCC"/>
        </w:pBdr>
      </w:pPr>
    </w:p>
    <w:p>
      <w:pPr>
        <w:keepNext/>
        <w:spacing w:before="320" w:after="120"/>
      </w:pPr>
      <w:r>
        <w:rPr>
          <w:rFonts w:ascii="Calibri" w:hAnsi="Calibri"/>
          <w:b/>
          <w:color w:val="003366"/>
          <w:sz w:val="32"/>
        </w:rPr>
        <w:t>Q15: What are your future implementation milestones for full-scale deployment in the Ministry of Steel?</w:t>
      </w:r>
    </w:p>
    <w:p>
      <w:pPr>
        <w:spacing w:after="80" w:line="276" w:lineRule="auto"/>
      </w:pPr>
      <w:r>
        <w:rPr>
          <w:rFonts w:ascii="Calibri" w:hAnsi="Calibri"/>
          <w:b/>
          <w:color w:val="323232"/>
          <w:sz w:val="21"/>
        </w:rPr>
        <w:t xml:space="preserve">🎯 Executive Takeaway: </w:t>
      </w:r>
      <w:r>
        <w:rPr>
          <w:rFonts w:ascii="Calibri" w:hAnsi="Calibri"/>
          <w:color w:val="323232"/>
          <w:sz w:val="21"/>
        </w:rPr>
        <w:t>Phase 1 is complete (DSS Command Center); Phase 2 integrates live AIS satellite vessel tracking; Phase 3 connects national e-procurement portals (MSTC/GeM).</w:t>
      </w:r>
    </w:p>
    <w:p>
      <w:pPr>
        <w:spacing w:after="80" w:line="276" w:lineRule="auto"/>
      </w:pPr>
      <w:r>
        <w:rPr>
          <w:rFonts w:ascii="Calibri" w:hAnsi="Calibri"/>
          <w:b/>
          <w:color w:val="323232"/>
          <w:sz w:val="21"/>
        </w:rPr>
        <w:t xml:space="preserve">💡 Plain-English Explanation (For All Judges): </w:t>
      </w:r>
      <w:r>
        <w:rPr>
          <w:rFonts w:ascii="Calibri" w:hAnsi="Calibri"/>
          <w:color w:val="323232"/>
          <w:sz w:val="21"/>
        </w:rPr>
        <w:t>Right now, our software is the pilot's intelligent navigation dashboard. Our next step is to connect live satellite radar so we can track the exact physical GPS position of every ship in the Indian Ocean in real time.</w:t>
      </w:r>
    </w:p>
    <w:p>
      <w:pPr>
        <w:spacing w:after="80" w:line="276" w:lineRule="auto"/>
      </w:pPr>
      <w:r>
        <w:rPr>
          <w:rFonts w:ascii="Calibri" w:hAnsi="Calibri"/>
          <w:b/>
          <w:color w:val="323232"/>
          <w:sz w:val="21"/>
        </w:rPr>
        <w:t xml:space="preserve">🔬 Deep Technical Defense (For Engineers &amp; Evaluators): </w:t>
      </w:r>
      <w:r>
        <w:rPr>
          <w:rFonts w:ascii="Calibri" w:hAnsi="Calibri"/>
          <w:color w:val="323232"/>
          <w:sz w:val="21"/>
        </w:rPr>
        <w:t>Roadmap: (1) Ingest live AIS (Automatic Identification System) satellite feeds to predict port ETA down to the hour. (2) Deepen multi-modal rail integration (rake availability from Paradip/Vizag to Bhilai/Rourkela). (3) Deploy automated smart tender generation for MSTC and GeM portals with digital audit signatures.</w:t>
      </w:r>
    </w:p>
    <w:p>
      <w:pPr>
        <w:spacing w:after="160"/>
        <w:pBdr>
          <w:bottom w:val="dotted" w:sz="6" w:space="1" w:color="CCCCCC"/>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