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0F2A4A"/>
          <w:sz w:val="36"/>
        </w:rPr>
        <w:t>🏛️ SIH26006: System Architecture &amp; Data Flow Specification</w:t>
      </w:r>
    </w:p>
    <w:p>
      <w:pPr>
        <w:spacing w:before="80" w:after="80"/>
        <w:ind w:left="432"/>
      </w:pPr>
      <w:r>
        <w:rPr>
          <w:rFonts w:ascii="Calibri" w:hAnsi="Calibri"/>
          <w:b/>
          <w:color w:val="1E3A5F"/>
          <w:sz w:val="21"/>
        </w:rPr>
        <w:t>Project</w:t>
      </w:r>
      <w:r>
        <w:rPr>
          <w:rFonts w:ascii="Calibri" w:hAnsi="Calibri"/>
          <w:i/>
          <w:color w:val="1E3A5F"/>
          <w:sz w:val="21"/>
        </w:rPr>
        <w:t>: Intelligent Freight Forecasting Model for Optimized Vessel Chartering</w:t>
      </w:r>
    </w:p>
    <w:p>
      <w:pPr>
        <w:spacing w:before="80" w:after="80"/>
        <w:ind w:left="432"/>
      </w:pPr>
      <w:r>
        <w:rPr>
          <w:rFonts w:ascii="Calibri" w:hAnsi="Calibri"/>
          <w:b/>
          <w:color w:val="1E3A5F"/>
          <w:sz w:val="21"/>
        </w:rPr>
        <w:t>Target Entity</w:t>
      </w:r>
      <w:r>
        <w:rPr>
          <w:rFonts w:ascii="Calibri" w:hAnsi="Calibri"/>
          <w:i/>
          <w:color w:val="1E3A5F"/>
          <w:sz w:val="21"/>
        </w:rPr>
        <w:t>: Ministry of Steel (Government of India) &amp; Steel PSUs (SAIL, RINL, NMDC)</w:t>
      </w:r>
    </w:p>
    <w:p>
      <w:pPr>
        <w:spacing w:before="80" w:after="80"/>
        <w:ind w:left="432"/>
      </w:pPr>
      <w:r>
        <w:rPr>
          <w:rFonts w:ascii="Calibri" w:hAnsi="Calibri"/>
          <w:b/>
          <w:color w:val="1E3A5F"/>
          <w:sz w:val="21"/>
        </w:rPr>
        <w:t>Version</w:t>
      </w:r>
      <w:r>
        <w:rPr>
          <w:rFonts w:ascii="Calibri" w:hAnsi="Calibri"/>
          <w:i/>
          <w:color w:val="1E3A5F"/>
          <w:sz w:val="21"/>
        </w:rPr>
        <w:t>: 1.0.0 Enterprise Production Specification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1. End-to-End System Architecture Overview</w:t>
      </w:r>
    </w:p>
    <w:p>
      <w:pPr>
        <w:spacing w:before="40" w:after="80"/>
      </w:pPr>
      <w:r>
        <w:rPr>
          <w:rFonts w:ascii="Calibri" w:hAnsi="Calibri"/>
          <w:sz w:val="21"/>
        </w:rPr>
        <w:t>The system is architected as a high-performance, modular Decision Support System (DSS) comprising five decoupled layers: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>[ Data Ingestion Layer ] ──► [ TimescaleDB Storage ] ──► [ FastAPI Core API ] ──► [ Next.js 14 UI ]</w:t>
        <w:br/>
        <w:t xml:space="preserve">                                                              │       ▲</w:t>
        <w:br/>
        <w:t xml:space="preserve">                                                              ▼       │</w:t>
        <w:br/>
        <w:t xml:space="preserve">                                                    [ ML Forecasting Engine ]</w:t>
        <w:br/>
        <w:t xml:space="preserve">                                                              │</w:t>
        <w:br/>
        <w:t xml:space="preserve">                                                              ▼</w:t>
        <w:br/>
        <w:t xml:space="preserve">                                                    [ PuLP MILP Solver ]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2. Layer-by-Layer Architectural Decomposition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Layer 1: Data Ingestion Pipeline (`ml_engine/data_pipeline/`)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Public &amp; Macro Feeds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yfinance</w:t>
      </w:r>
      <w:r>
        <w:rPr>
          <w:rFonts w:ascii="Calibri" w:hAnsi="Calibri"/>
          <w:sz w:val="21"/>
        </w:rPr>
        <w:t xml:space="preserve"> module pulls historical daily closes for global benchmarks (Brent Crude Oil </w:t>
      </w:r>
      <w:r>
        <w:rPr>
          <w:rFonts w:ascii="Consolas" w:hAnsi="Consolas"/>
          <w:color w:val="1E40AF"/>
          <w:sz w:val="19"/>
        </w:rPr>
        <w:t>BZ=F</w:t>
      </w:r>
      <w:r>
        <w:rPr>
          <w:rFonts w:ascii="Calibri" w:hAnsi="Calibri"/>
          <w:sz w:val="21"/>
        </w:rPr>
        <w:t xml:space="preserve">, USD/INR currency exchange </w:t>
      </w:r>
      <w:r>
        <w:rPr>
          <w:rFonts w:ascii="Consolas" w:hAnsi="Consolas"/>
          <w:color w:val="1E40AF"/>
          <w:sz w:val="19"/>
        </w:rPr>
        <w:t>INR=X</w:t>
      </w:r>
      <w:r>
        <w:rPr>
          <w:rFonts w:ascii="Calibri" w:hAnsi="Calibri"/>
          <w:sz w:val="21"/>
        </w:rPr>
        <w:t>, and Baltic proxy equities).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>Multi-variate geometric random walk and volatility-drift generator synthesizes official Baltic Exchange indices: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BCI</w:t>
      </w:r>
      <w:r>
        <w:rPr>
          <w:rFonts w:ascii="Calibri" w:hAnsi="Calibri"/>
          <w:sz w:val="21"/>
        </w:rPr>
        <w:t xml:space="preserve"> (Baltic Capesize Index - 150,000+ DWT, iron ore &amp; coking coal)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BPI</w:t>
      </w:r>
      <w:r>
        <w:rPr>
          <w:rFonts w:ascii="Calibri" w:hAnsi="Calibri"/>
          <w:sz w:val="21"/>
        </w:rPr>
        <w:t xml:space="preserve"> (Baltic Panamax Index - 70,000–90,000 DWT, coking coal)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BSI</w:t>
      </w:r>
      <w:r>
        <w:rPr>
          <w:rFonts w:ascii="Calibri" w:hAnsi="Calibri"/>
          <w:sz w:val="21"/>
        </w:rPr>
        <w:t xml:space="preserve"> (Baltic Supramax Index - 50,000–65,000 DWT, geared shallow bulkers)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BUNKER_SIN</w:t>
      </w:r>
      <w:r>
        <w:rPr>
          <w:rFonts w:ascii="Calibri" w:hAnsi="Calibri"/>
          <w:sz w:val="21"/>
        </w:rPr>
        <w:t xml:space="preserve"> (Singapore Very Low Sulfur Fuel Oil - $/MT)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Indian Port Telemetry Generator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>Simulates dynamic draft allowances, tidal restrictions, berth counts, and congestion delays across major steel discharge hubs: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Paradip</w:t>
      </w:r>
      <w:r>
        <w:rPr>
          <w:rFonts w:ascii="Calibri" w:hAnsi="Calibri"/>
          <w:sz w:val="21"/>
        </w:rPr>
        <w:t xml:space="preserve"> (14.5m Max Draft, 36h avg queue)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Visakhapatnam</w:t>
      </w:r>
      <w:r>
        <w:rPr>
          <w:rFonts w:ascii="Calibri" w:hAnsi="Calibri"/>
          <w:sz w:val="21"/>
        </w:rPr>
        <w:t xml:space="preserve"> (16.5m Max Draft, 28h avg queue)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Haldia</w:t>
      </w:r>
      <w:r>
        <w:rPr>
          <w:rFonts w:ascii="Calibri" w:hAnsi="Calibri"/>
          <w:sz w:val="21"/>
        </w:rPr>
        <w:t xml:space="preserve"> (12.0m Max Draft riverine channel, 44h avg queue)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Dhamra</w:t>
      </w:r>
      <w:r>
        <w:rPr>
          <w:rFonts w:ascii="Calibri" w:hAnsi="Calibri"/>
          <w:sz w:val="21"/>
        </w:rPr>
        <w:t xml:space="preserve"> (18.0m Deepwater berth, 18h avg queue)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Gangavaram</w:t>
      </w:r>
      <w:r>
        <w:rPr>
          <w:rFonts w:ascii="Calibri" w:hAnsi="Calibri"/>
          <w:sz w:val="21"/>
        </w:rPr>
        <w:t xml:space="preserve"> (20.0m Ultra-deepwater, 12h avg queue)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Layer 2: Persistence &amp; Time-Series Storage (`backend/models/`)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Built on </w:t>
      </w:r>
      <w:r>
        <w:rPr>
          <w:rFonts w:ascii="Calibri" w:hAnsi="Calibri"/>
          <w:b/>
          <w:color w:val="111827"/>
          <w:sz w:val="21"/>
        </w:rPr>
        <w:t>PostgreSQL 15</w:t>
      </w:r>
      <w:r>
        <w:rPr>
          <w:rFonts w:ascii="Calibri" w:hAnsi="Calibri"/>
          <w:sz w:val="21"/>
        </w:rPr>
        <w:t xml:space="preserve"> with the </w:t>
      </w:r>
      <w:r>
        <w:rPr>
          <w:rFonts w:ascii="Calibri" w:hAnsi="Calibri"/>
          <w:b/>
          <w:color w:val="111827"/>
          <w:sz w:val="21"/>
        </w:rPr>
        <w:t>TimescaleDB</w:t>
      </w:r>
      <w:r>
        <w:rPr>
          <w:rFonts w:ascii="Calibri" w:hAnsi="Calibri"/>
          <w:sz w:val="21"/>
        </w:rPr>
        <w:t xml:space="preserve"> extension for efficient indexing and continuous aggregates of time-series maritime telemetry.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3B5988"/>
          <w:sz w:val="22"/>
        </w:rPr>
        <w:t>Schema 1: `market_data`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id</w:t>
      </w:r>
      <w:r>
        <w:rPr>
          <w:rFonts w:ascii="Calibri" w:hAnsi="Calibri"/>
          <w:sz w:val="21"/>
        </w:rPr>
        <w:t xml:space="preserve"> (Integer, Primary Key)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index_name</w:t>
      </w:r>
      <w:r>
        <w:rPr>
          <w:rFonts w:ascii="Calibri" w:hAnsi="Calibri"/>
          <w:sz w:val="21"/>
        </w:rPr>
        <w:t xml:space="preserve"> (String: BCI, BPI, BSI, BRENT_CRUDE, USD_INR, BUNKER_SIN)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value</w:t>
      </w:r>
      <w:r>
        <w:rPr>
          <w:rFonts w:ascii="Calibri" w:hAnsi="Calibri"/>
          <w:sz w:val="21"/>
        </w:rPr>
        <w:t xml:space="preserve"> (Float: Rate in points, USD/bbl, USD/MT, or INR)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recorded_at</w:t>
      </w:r>
      <w:r>
        <w:rPr>
          <w:rFonts w:ascii="Calibri" w:hAnsi="Calibri"/>
          <w:sz w:val="21"/>
        </w:rPr>
        <w:t xml:space="preserve"> (Date, Indexed: Date of trade close)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created_at</w:t>
      </w:r>
      <w:r>
        <w:rPr>
          <w:rFonts w:ascii="Calibri" w:hAnsi="Calibri"/>
          <w:sz w:val="21"/>
        </w:rPr>
        <w:t xml:space="preserve"> (DateTime: System audit timestamp)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3B5988"/>
          <w:sz w:val="22"/>
        </w:rPr>
        <w:t>Schema 2: `port_data`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id</w:t>
      </w:r>
      <w:r>
        <w:rPr>
          <w:rFonts w:ascii="Calibri" w:hAnsi="Calibri"/>
          <w:sz w:val="21"/>
        </w:rPr>
        <w:t xml:space="preserve"> (Integer, Primary Key)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port_name</w:t>
      </w:r>
      <w:r>
        <w:rPr>
          <w:rFonts w:ascii="Calibri" w:hAnsi="Calibri"/>
          <w:sz w:val="21"/>
        </w:rPr>
        <w:t xml:space="preserve"> (String: Paradip, Visakhapatnam, Haldia, Dhamra, Gangavaram)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max_draft_m</w:t>
      </w:r>
      <w:r>
        <w:rPr>
          <w:rFonts w:ascii="Calibri" w:hAnsi="Calibri"/>
          <w:sz w:val="21"/>
        </w:rPr>
        <w:t xml:space="preserve"> (Float: Channel depth in meters)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current_waiting_hours</w:t>
      </w:r>
      <w:r>
        <w:rPr>
          <w:rFonts w:ascii="Calibri" w:hAnsi="Calibri"/>
          <w:sz w:val="21"/>
        </w:rPr>
        <w:t xml:space="preserve"> (Float: Average berth waiting delay)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berth_capacity</w:t>
      </w:r>
      <w:r>
        <w:rPr>
          <w:rFonts w:ascii="Calibri" w:hAnsi="Calibri"/>
          <w:sz w:val="21"/>
        </w:rPr>
        <w:t xml:space="preserve"> (Integer: Simultaneous bulk discharge berths)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recorded_at</w:t>
      </w:r>
      <w:r>
        <w:rPr>
          <w:rFonts w:ascii="Calibri" w:hAnsi="Calibri"/>
          <w:sz w:val="21"/>
        </w:rPr>
        <w:t xml:space="preserve"> (Date)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3B5988"/>
          <w:sz w:val="22"/>
        </w:rPr>
        <w:t>Schema 3: `optimization_logs`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id</w:t>
      </w:r>
      <w:r>
        <w:rPr>
          <w:rFonts w:ascii="Calibri" w:hAnsi="Calibri"/>
          <w:sz w:val="21"/>
        </w:rPr>
        <w:t xml:space="preserve"> (Integer, Primary Key)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target_port</w:t>
      </w:r>
      <w:r>
        <w:rPr>
          <w:rFonts w:ascii="Calibri" w:hAnsi="Calibri"/>
          <w:sz w:val="21"/>
        </w:rPr>
        <w:t xml:space="preserve"> (String)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required_cargo_mt</w:t>
      </w:r>
      <w:r>
        <w:rPr>
          <w:rFonts w:ascii="Calibri" w:hAnsi="Calibri"/>
          <w:sz w:val="21"/>
        </w:rPr>
        <w:t xml:space="preserve"> (Float)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planning_horizon_days</w:t>
      </w:r>
      <w:r>
        <w:rPr>
          <w:rFonts w:ascii="Calibri" w:hAnsi="Calibri"/>
          <w:sz w:val="21"/>
        </w:rPr>
        <w:t xml:space="preserve"> (Integer)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total_cost_usd</w:t>
      </w:r>
      <w:r>
        <w:rPr>
          <w:rFonts w:ascii="Calibri" w:hAnsi="Calibri"/>
          <w:sz w:val="21"/>
        </w:rPr>
        <w:t xml:space="preserve"> (Float)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savings_usd</w:t>
      </w:r>
      <w:r>
        <w:rPr>
          <w:rFonts w:ascii="Calibri" w:hAnsi="Calibri"/>
          <w:sz w:val="21"/>
        </w:rPr>
        <w:t xml:space="preserve"> (Float)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vessel_schedule_json</w:t>
      </w:r>
      <w:r>
        <w:rPr>
          <w:rFonts w:ascii="Calibri" w:hAnsi="Calibri"/>
          <w:sz w:val="21"/>
        </w:rPr>
        <w:t xml:space="preserve"> (JSONB)</w:t>
      </w:r>
    </w:p>
    <w:p>
      <w:pPr>
        <w:pStyle w:val="ListBullet"/>
        <w:spacing w:before="20" w:after="20"/>
        <w:ind w:left="360"/>
      </w:pPr>
      <w:r>
        <w:rPr>
          <w:rFonts w:ascii="Consolas" w:hAnsi="Consolas"/>
          <w:color w:val="1E40AF"/>
          <w:sz w:val="19"/>
        </w:rPr>
        <w:t>executed_at</w:t>
      </w:r>
      <w:r>
        <w:rPr>
          <w:rFonts w:ascii="Calibri" w:hAnsi="Calibri"/>
          <w:sz w:val="21"/>
        </w:rPr>
        <w:t xml:space="preserve"> (DateTime)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Layer 3: FastAPI Backend Services (`backend/routers/`)</w:t>
      </w:r>
    </w:p>
    <w:p>
      <w:pPr>
        <w:spacing w:before="40" w:after="80"/>
      </w:pPr>
      <w:r>
        <w:rPr>
          <w:rFonts w:ascii="Calibri" w:hAnsi="Calibri"/>
          <w:sz w:val="21"/>
        </w:rPr>
        <w:t>Implements an asynchronous, high-throughput RESTful service layer: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`health.py`</w:t>
      </w:r>
      <w:r>
        <w:rPr>
          <w:rFonts w:ascii="Calibri" w:hAnsi="Calibri"/>
          <w:sz w:val="21"/>
        </w:rPr>
        <w:t>: Validates database connection pools and solver readiness.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`market_data.py`</w:t>
      </w:r>
      <w:r>
        <w:rPr>
          <w:rFonts w:ascii="Calibri" w:hAnsi="Calibri"/>
          <w:sz w:val="21"/>
        </w:rPr>
        <w:t>: Provides fast time-series queries and bulk ingestion endpoints.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`port_data.py`</w:t>
      </w:r>
      <w:r>
        <w:rPr>
          <w:rFonts w:ascii="Calibri" w:hAnsi="Calibri"/>
          <w:sz w:val="21"/>
        </w:rPr>
        <w:t>: Manages dynamic port draft thresholds and congestion telemetry.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`forecasts.py`</w:t>
      </w:r>
      <w:r>
        <w:rPr>
          <w:rFonts w:ascii="Calibri" w:hAnsi="Calibri"/>
          <w:sz w:val="21"/>
        </w:rPr>
        <w:t>: Invokes the ML forecasting engine and returns 60-day point estimates and 80% confidence interval bands.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`optimization.py`</w:t>
      </w:r>
      <w:r>
        <w:rPr>
          <w:rFonts w:ascii="Calibri" w:hAnsi="Calibri"/>
          <w:sz w:val="21"/>
        </w:rPr>
        <w:t>: Validates procurement constraints, builds the MILP objective matrix, calls the PuLP solver, and computes landed cost savings against spot benchmarks.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Layer 4: Hybrid Machine Learning Engine (`ml_engine/forecasting/`)</w:t>
      </w:r>
    </w:p>
    <w:p>
      <w:pPr>
        <w:spacing w:before="40" w:after="80"/>
      </w:pPr>
      <w:r>
        <w:rPr>
          <w:rFonts w:ascii="Calibri" w:hAnsi="Calibri"/>
          <w:sz w:val="21"/>
        </w:rPr>
        <w:t>A dual-tier predictive framework designed to avoid the pitfalls of naive single-model time-series forecasting: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Short-Horizon Model (Days 1–15)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Algorithm</w:t>
      </w:r>
      <w:r>
        <w:rPr>
          <w:rFonts w:ascii="Calibri" w:hAnsi="Calibri"/>
          <w:sz w:val="21"/>
        </w:rPr>
        <w:t>: LightGBM Gradient-Boosted Decision Trees.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Engineered Features</w:t>
      </w:r>
      <w:r>
        <w:rPr>
          <w:rFonts w:ascii="Calibri" w:hAnsi="Calibri"/>
          <w:sz w:val="21"/>
        </w:rPr>
        <w:t>: 1-day, 2-day, 3-day, 7-day, 14-day lagged values; 7-day rolling mean; 7-day rolling standard deviation (volatility proxy); and macro Brent Crude / Bunker fuel covariance.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Target</w:t>
      </w:r>
      <w:r>
        <w:rPr>
          <w:rFonts w:ascii="Calibri" w:hAnsi="Calibri"/>
          <w:sz w:val="21"/>
        </w:rPr>
        <w:t>: Short-term non-linear rate swings and immediate momentum.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Medium-Horizon Model (Days 16–60)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Algorithm</w:t>
      </w:r>
      <w:r>
        <w:rPr>
          <w:rFonts w:ascii="Calibri" w:hAnsi="Calibri"/>
          <w:sz w:val="21"/>
        </w:rPr>
        <w:t>: Decomposed Additive Seasonal Model (Prophet / Holt-Winters Exponential Trend).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Confidence Envelope</w:t>
      </w:r>
      <w:r>
        <w:rPr>
          <w:rFonts w:ascii="Calibri" w:hAnsi="Calibri"/>
          <w:sz w:val="21"/>
        </w:rPr>
        <w:t xml:space="preserve">: Evaluates residual variance to compute </w:t>
      </w:r>
      <w:r>
        <w:rPr>
          <w:rFonts w:ascii="Calibri" w:hAnsi="Calibri"/>
          <w:b/>
          <w:color w:val="111827"/>
          <w:sz w:val="21"/>
        </w:rPr>
        <w:t>80% Statistical Confidence Intervals</w:t>
      </w:r>
      <w:r>
        <w:rPr>
          <w:rFonts w:ascii="Calibri" w:hAnsi="Calibri"/>
          <w:sz w:val="21"/>
        </w:rPr>
        <w:t xml:space="preserve"> ($[\hat{y}_t - 1.28\sigma_t, \hat{y}_t + 1.28\sigma_t]$).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Transition Smoother</w:t>
      </w:r>
      <w:r>
        <w:rPr>
          <w:rFonts w:ascii="Calibri" w:hAnsi="Calibri"/>
          <w:sz w:val="21"/>
        </w:rPr>
        <w:t>: Employs a linear sigmoid blending bridge between Day 14 and Day 17 to ensure continuous, non-divergent trajectory handover.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Layer 5: MILP Operations Research Optimizer (`ml_engine/optimization/`)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Formulates vessel chartering as a </w:t>
      </w:r>
      <w:r>
        <w:rPr>
          <w:rFonts w:ascii="Calibri" w:hAnsi="Calibri"/>
          <w:b/>
          <w:color w:val="111827"/>
          <w:sz w:val="21"/>
        </w:rPr>
        <w:t>Mixed-Integer Linear Program (MILP)</w:t>
      </w:r>
      <w:r>
        <w:rPr>
          <w:rFonts w:ascii="Calibri" w:hAnsi="Calibri"/>
          <w:sz w:val="21"/>
        </w:rPr>
        <w:t xml:space="preserve"> solved via the </w:t>
      </w:r>
      <w:r>
        <w:rPr>
          <w:rFonts w:ascii="Calibri" w:hAnsi="Calibri"/>
          <w:b/>
          <w:color w:val="111827"/>
          <w:sz w:val="21"/>
        </w:rPr>
        <w:t>PuLP CBC Branch-and-Cut</w:t>
      </w:r>
      <w:r>
        <w:rPr>
          <w:rFonts w:ascii="Calibri" w:hAnsi="Calibri"/>
          <w:sz w:val="21"/>
        </w:rPr>
        <w:t xml:space="preserve"> engine.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3B5988"/>
          <w:sz w:val="22"/>
        </w:rPr>
        <w:t>Mathematical Model: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Sets &amp; Indices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$V = \{\text{Capesize (150k MT)}, \text{Panamax (80k MT)}, \text{Supramax (50k MT)}\}$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$T = \{1, 2, \dots, H\}$ (Planning horizon days, $H \le 60$)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$P$ = Target Indian discharge port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Decision Variables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$x_{v, t} \in \mathbb{Z}_{\ge 0}$: Number of vessels of class $v$ chartered on departure day $t$.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Objective Function</w:t>
      </w:r>
      <w:r>
        <w:rPr>
          <w:rFonts w:ascii="Calibri" w:hAnsi="Calibri"/>
          <w:sz w:val="21"/>
        </w:rPr>
        <w:t>: Minimize Total Landed Procurement Cost:</w:t>
      </w:r>
    </w:p>
    <w:p>
      <w:pPr>
        <w:spacing w:before="40" w:after="80"/>
      </w:pPr>
      <w:r>
        <w:rPr>
          <w:rFonts w:ascii="Calibri" w:hAnsi="Calibri"/>
          <w:sz w:val="21"/>
        </w:rPr>
        <w:t>$$\min \sum_{t \in T} \sum_{v \in V} \left[ \left( \hat{R}_{v, t} \cdot \text{Cap}_v \right) + C_{\text{mob}, v} + \left( W_P \cdot D_v \right) \right] \cdot x_{v, t}$$</w:t>
      </w:r>
    </w:p>
    <w:p>
      <w:pPr>
        <w:spacing w:before="40" w:after="80"/>
      </w:pPr>
      <w:r>
        <w:rPr>
          <w:rFonts w:ascii="Calibri" w:hAnsi="Calibri"/>
          <w:sz w:val="21"/>
        </w:rPr>
        <w:t>Where: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$\hat{R}_{v, t}$: Forecasted freight rate $(\$/\text{MT})$ for vessel $v$ on day $t$.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$\text{Cap}_v$: Vessel nominal capacity in Metric Tonnes.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$C_{\text{mob}, v}$: Fixed mobilization and port tariff overhead.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$W_P$: Expected port waiting delay (hours).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$D_v$: Hourly demurrage penalty rate for vessel class $v$.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Constraints</w:t>
      </w:r>
      <w:r>
        <w:rPr>
          <w:rFonts w:ascii="Calibri" w:hAnsi="Calibri"/>
          <w:sz w:val="21"/>
        </w:rPr>
        <w:t>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Demand Satisfaction</w:t>
      </w:r>
      <w:r>
        <w:rPr>
          <w:rFonts w:ascii="Calibri" w:hAnsi="Calibri"/>
          <w:sz w:val="21"/>
        </w:rPr>
        <w:t>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$$\sum_{t \in T} \sum_{v \in V} \left( \text{Cap}_v \cdot x_{v, t} \right) \ge \text{Demand}_{\text{required}}$$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Port Draft Restriction</w:t>
      </w:r>
      <w:r>
        <w:rPr>
          <w:rFonts w:ascii="Calibri" w:hAnsi="Calibri"/>
          <w:sz w:val="21"/>
        </w:rPr>
        <w:t>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$$x_{v, t} = 0 \quad \forall v \text{ where } \text{Draft}_v &gt; \text{MaxDraft}_P$$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</w:t>
      </w:r>
      <w:r>
        <w:rPr>
          <w:rFonts w:ascii="Calibri" w:hAnsi="Calibri"/>
          <w:i/>
          <w:sz w:val="21"/>
        </w:rPr>
        <w:t>(e.g., if $\text{MaxDraft}_{\text{Haldia}} = 12.0\text{m}$, Capesize ($17.0\text{m}$) and Panamax ($14.0\text{m}$) are strictly forced to 0).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Berth Handling Throughput</w:t>
      </w:r>
      <w:r>
        <w:rPr>
          <w:rFonts w:ascii="Calibri" w:hAnsi="Calibri"/>
          <w:sz w:val="21"/>
        </w:rPr>
        <w:t>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$$\sum_{v \in V} x_{v, t} \le \text{MaxDailyArrivals}_P \quad \forall t \in T$$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Layer 6: Enterprise Command Center UI (`frontend/`)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Next.js 14 App Router</w:t>
      </w:r>
      <w:r>
        <w:rPr>
          <w:rFonts w:ascii="Calibri" w:hAnsi="Calibri"/>
          <w:sz w:val="21"/>
        </w:rPr>
        <w:t xml:space="preserve"> with TypeScript and Server-Side Rendering (SSR).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Styling</w:t>
      </w:r>
      <w:r>
        <w:rPr>
          <w:rFonts w:ascii="Calibri" w:hAnsi="Calibri"/>
          <w:sz w:val="21"/>
        </w:rPr>
        <w:t>: Tailwind CSS configured with a neutral dark graphite palette (</w:t>
      </w:r>
      <w:r>
        <w:rPr>
          <w:rFonts w:ascii="Consolas" w:hAnsi="Consolas"/>
          <w:color w:val="1E40AF"/>
          <w:sz w:val="19"/>
        </w:rPr>
        <w:t>#090a0f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#12131a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#222430</w:t>
      </w:r>
      <w:r>
        <w:rPr>
          <w:rFonts w:ascii="Calibri" w:hAnsi="Calibri"/>
          <w:sz w:val="21"/>
        </w:rPr>
        <w:t>) compliant with National Command Center and Bloomberg Terminal standards.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Data Visualization</w:t>
      </w:r>
      <w:r>
        <w:rPr>
          <w:rFonts w:ascii="Calibri" w:hAnsi="Calibri"/>
          <w:sz w:val="21"/>
        </w:rPr>
        <w:t>: Recharts ComposedChart rendering forward curves, confidence bands, and dual-currency (USD &amp; ₹ Crore) KPI cards.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Hydration Safe</w:t>
      </w:r>
      <w:r>
        <w:rPr>
          <w:rFonts w:ascii="Calibri" w:hAnsi="Calibri"/>
          <w:sz w:val="21"/>
        </w:rPr>
        <w:t xml:space="preserve">: Deterministic formatting with pinned </w:t>
      </w:r>
      <w:r>
        <w:rPr>
          <w:rFonts w:ascii="Consolas" w:hAnsi="Consolas"/>
          <w:color w:val="1E40AF"/>
          <w:sz w:val="19"/>
        </w:rPr>
        <w:t>en-US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1E40AF"/>
          <w:sz w:val="19"/>
        </w:rPr>
        <w:t>en-IN</w:t>
      </w:r>
      <w:r>
        <w:rPr>
          <w:rFonts w:ascii="Calibri" w:hAnsi="Calibri"/>
          <w:sz w:val="21"/>
        </w:rPr>
        <w:t xml:space="preserve"> number formatting.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3. Data Flow Diagram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>[ Market Feeds / Port Telemetry ]</w:t>
        <w:br/>
        <w:t xml:space="preserve">               │</w:t>
        <w:br/>
        <w:t xml:space="preserve">               ▼ (fetch_market_data.py / seed_database.py)</w:t>
        <w:br/>
        <w:t>[ PostgreSQL + TimescaleDB ]</w:t>
        <w:br/>
        <w:t xml:space="preserve">               │</w:t>
        <w:br/>
        <w:t xml:space="preserve">               ▼ (SQLAlchemy Async Queries)</w:t>
        <w:br/>
        <w:t>[ FastAPI Backend /api/v1/ ]</w:t>
        <w:br/>
        <w:t xml:space="preserve">       │                      │</w:t>
        <w:br/>
        <w:t xml:space="preserve">       ▼ (/forecasts/{index}) ▼ (/optimize)</w:t>
        <w:br/>
        <w:t>[ Hybrid ML Forecaster ]   [ PuLP CBC MILP Solver ]</w:t>
        <w:br/>
        <w:t xml:space="preserve">       │                      │</w:t>
        <w:br/>
        <w:t xml:space="preserve">       └──────────┬───────────┘</w:t>
        <w:br/>
        <w:t xml:space="preserve">                  ▼</w:t>
        <w:br/>
        <w:t>[ Next.js 14 Interactive Dashboard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