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Calibri" w:hAnsi="Calibri"/>
          <w:b/>
          <w:color w:val="0F2A4A"/>
          <w:sz w:val="36"/>
        </w:rPr>
        <w:t>🛡️ SIH26006: Anticipated Judge Q&amp;A &amp; Defense Strategies</w:t>
      </w:r>
    </w:p>
    <w:p>
      <w:pPr>
        <w:spacing w:before="80" w:after="80"/>
        <w:ind w:left="432"/>
      </w:pPr>
      <w:r>
        <w:rPr>
          <w:rFonts w:ascii="Calibri" w:hAnsi="Calibri"/>
          <w:b/>
          <w:color w:val="1E3A5F"/>
          <w:sz w:val="21"/>
        </w:rPr>
        <w:t>Prepared for</w:t>
      </w:r>
      <w:r>
        <w:rPr>
          <w:rFonts w:ascii="Calibri" w:hAnsi="Calibri"/>
          <w:i/>
          <w:color w:val="1E3A5F"/>
          <w:sz w:val="21"/>
        </w:rPr>
        <w:t>: Smart India Hackathon 2026 Evaluation Panel</w:t>
      </w:r>
    </w:p>
    <w:p>
      <w:pPr>
        <w:spacing w:before="80" w:after="80"/>
        <w:ind w:left="432"/>
      </w:pPr>
      <w:r>
        <w:rPr>
          <w:rFonts w:ascii="Calibri" w:hAnsi="Calibri"/>
          <w:b/>
          <w:color w:val="1E3A5F"/>
          <w:sz w:val="21"/>
        </w:rPr>
        <w:t>Domain</w:t>
      </w:r>
      <w:r>
        <w:rPr>
          <w:rFonts w:ascii="Calibri" w:hAnsi="Calibri"/>
          <w:i/>
          <w:color w:val="1E3A5F"/>
          <w:sz w:val="21"/>
        </w:rPr>
        <w:t>: Ministry of Steel, SAIL Logistics, Maritime Operations, AI/ML Evaluators</w:t>
      </w:r>
    </w:p>
    <w:p>
      <w:pPr>
        <w:spacing w:before="40" w:after="80"/>
      </w:pPr>
      <w:r>
        <w:rPr>
          <w:rFonts w:ascii="Calibri" w:hAnsi="Calibri"/>
          <w:sz w:val="21"/>
        </w:rPr>
        <w:t>---</w:t>
      </w:r>
    </w:p>
    <w:p>
      <w:pPr>
        <w:pStyle w:val="Heading3"/>
        <w:spacing w:before="160" w:after="60"/>
      </w:pPr>
      <w:r>
        <w:rPr>
          <w:rFonts w:ascii="Calibri" w:hAnsi="Calibri"/>
          <w:b/>
          <w:color w:val="2B4C7E"/>
          <w:sz w:val="24"/>
        </w:rPr>
        <w:t>Q1: Why did you use Mixed-Integer Linear Programming (MILP) instead of a Reinforcement Learning (RL) or Genetic Algorithm?</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Mathematical Optimality Guarantee</w:t>
      </w:r>
      <w:r>
        <w:rPr>
          <w:rFonts w:ascii="Calibri" w:hAnsi="Calibri"/>
          <w:sz w:val="21"/>
        </w:rPr>
        <w:t>: In government procurement and PSU audit scrutiny (CVC/CAG audits), chartering decisions must be provably optimal and reproducible. MILP guarantees a mathematically optimal solution to the objective function, whereas RL and Genetic Algorithms provide heuristic, stochastic approximations that can violate hard physical constraints.</w:t>
      </w:r>
    </w:p>
    <w:p>
      <w:pPr>
        <w:pStyle w:val="ListBullet"/>
        <w:spacing w:before="20" w:after="20"/>
        <w:ind w:left="360"/>
      </w:pPr>
      <w:r>
        <w:rPr>
          <w:rFonts w:ascii="Calibri" w:hAnsi="Calibri"/>
          <w:b/>
          <w:color w:val="111827"/>
          <w:sz w:val="21"/>
        </w:rPr>
        <w:t>Strict Hard Constraints</w:t>
      </w:r>
      <w:r>
        <w:rPr>
          <w:rFonts w:ascii="Calibri" w:hAnsi="Calibri"/>
          <w:sz w:val="21"/>
        </w:rPr>
        <w:t>: MILP enforces hard physical constraints (e.g., vessel draft $\le$ port max draft, integer vessel units $x_{v,t} \in \mathbb{Z}_{\ge 0}$) with zero tolerance for constraint violation. RL agents frequently generate illegal actions during exploration phases.</w:t>
      </w:r>
    </w:p>
    <w:p>
      <w:pPr>
        <w:pStyle w:val="ListBullet"/>
        <w:spacing w:before="20" w:after="20"/>
        <w:ind w:left="360"/>
      </w:pPr>
      <w:r>
        <w:rPr>
          <w:rFonts w:ascii="Calibri" w:hAnsi="Calibri"/>
          <w:b/>
          <w:color w:val="111827"/>
          <w:sz w:val="21"/>
        </w:rPr>
        <w:t>Computational Speed &amp; Determinism</w:t>
      </w:r>
      <w:r>
        <w:rPr>
          <w:rFonts w:ascii="Calibri" w:hAnsi="Calibri"/>
          <w:sz w:val="21"/>
        </w:rPr>
        <w:t xml:space="preserve">: Using the PuLP CBC Branch-and-Cut solver, the MILP model solves across a 60-day planning horizon with 3 vessel classes and 5 ports in under </w:t>
      </w:r>
      <w:r>
        <w:rPr>
          <w:rFonts w:ascii="Calibri" w:hAnsi="Calibri"/>
          <w:b/>
          <w:color w:val="111827"/>
          <w:sz w:val="21"/>
        </w:rPr>
        <w:t>120 milliseconds</w:t>
      </w:r>
      <w:r>
        <w:rPr>
          <w:rFonts w:ascii="Calibri" w:hAnsi="Calibri"/>
          <w:sz w:val="21"/>
        </w:rPr>
        <w:t>, making it ideal for real-time interactive decision support.</w:t>
      </w:r>
    </w:p>
    <w:p>
      <w:pPr>
        <w:spacing w:before="40" w:after="80"/>
      </w:pPr>
      <w:r>
        <w:rPr>
          <w:rFonts w:ascii="Calibri" w:hAnsi="Calibri"/>
          <w:sz w:val="21"/>
        </w:rPr>
        <w:t>---</w:t>
      </w:r>
    </w:p>
    <w:p>
      <w:pPr>
        <w:pStyle w:val="Heading3"/>
        <w:spacing w:before="160" w:after="60"/>
      </w:pPr>
      <w:r>
        <w:rPr>
          <w:rFonts w:ascii="Calibri" w:hAnsi="Calibri"/>
          <w:b/>
          <w:color w:val="2B4C7E"/>
          <w:sz w:val="24"/>
        </w:rPr>
        <w:t>Q2: Why use a hybrid LightGBM + Prophet model instead of an end-to-end Deep Learning model like LSTM or Temporal Fusion Transformer (TFT)?</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Regime Separation</w:t>
      </w:r>
      <w:r>
        <w:rPr>
          <w:rFonts w:ascii="Calibri" w:hAnsi="Calibri"/>
          <w:sz w:val="21"/>
        </w:rPr>
        <w:t xml:space="preserve">: Freight rates exhibit two distinct dynamics: high-frequency short-term volatility driven by spot fuel swings, and low-frequency medium-term cyclicality driven by trade seasons. </w:t>
      </w:r>
    </w:p>
    <w:p>
      <w:pPr>
        <w:pStyle w:val="ListBullet"/>
        <w:spacing w:before="20" w:after="20"/>
        <w:ind w:left="360"/>
      </w:pPr>
      <w:r>
        <w:rPr>
          <w:rFonts w:ascii="Calibri" w:hAnsi="Calibri"/>
          <w:b/>
          <w:color w:val="111827"/>
          <w:sz w:val="21"/>
        </w:rPr>
        <w:t>LightGBM (T+1 to T+15)</w:t>
      </w:r>
      <w:r>
        <w:rPr>
          <w:rFonts w:ascii="Calibri" w:hAnsi="Calibri"/>
          <w:sz w:val="21"/>
        </w:rPr>
        <w:t xml:space="preserve"> excels at non-linear feature interactions (multi-day lags, rolling standard deviation, bunker fuel spreads) without overfitting on smaller time-series samples.</w:t>
      </w:r>
    </w:p>
    <w:p>
      <w:pPr>
        <w:pStyle w:val="ListBullet"/>
        <w:spacing w:before="20" w:after="20"/>
        <w:ind w:left="360"/>
      </w:pPr>
      <w:r>
        <w:rPr>
          <w:rFonts w:ascii="Calibri" w:hAnsi="Calibri"/>
          <w:b/>
          <w:color w:val="111827"/>
          <w:sz w:val="21"/>
        </w:rPr>
        <w:t>Prophet / Holt-Winters (T+16 to T+60)</w:t>
      </w:r>
      <w:r>
        <w:rPr>
          <w:rFonts w:ascii="Calibri" w:hAnsi="Calibri"/>
          <w:sz w:val="21"/>
        </w:rPr>
        <w:t xml:space="preserve"> robustly decomposes quarterly steel manufacturing cycles and monsoon seasonality while providing formal statistical confidence intervals (80% CI).</w:t>
      </w:r>
    </w:p>
    <w:p>
      <w:pPr>
        <w:pStyle w:val="ListBullet"/>
        <w:spacing w:before="20" w:after="20"/>
        <w:ind w:left="360"/>
      </w:pPr>
      <w:r>
        <w:rPr>
          <w:rFonts w:ascii="Calibri" w:hAnsi="Calibri"/>
          <w:b/>
          <w:color w:val="111827"/>
          <w:sz w:val="21"/>
        </w:rPr>
        <w:t>Data Efficiency</w:t>
      </w:r>
      <w:r>
        <w:rPr>
          <w:rFonts w:ascii="Calibri" w:hAnsi="Calibri"/>
          <w:sz w:val="21"/>
        </w:rPr>
        <w:t>: Time-series dry bulk indices have daily cadence (~250 trading days/year). Deep Neural Networks (LSTMs/Transformers) require hundreds of thousands of samples to prevent overfitting and suffer from catastrophic forgetting during market regime shifts.</w:t>
      </w:r>
    </w:p>
    <w:p>
      <w:pPr>
        <w:spacing w:before="40" w:after="80"/>
      </w:pPr>
      <w:r>
        <w:rPr>
          <w:rFonts w:ascii="Calibri" w:hAnsi="Calibri"/>
          <w:sz w:val="21"/>
        </w:rPr>
        <w:t>---</w:t>
      </w:r>
    </w:p>
    <w:p>
      <w:pPr>
        <w:pStyle w:val="Heading3"/>
        <w:spacing w:before="160" w:after="60"/>
      </w:pPr>
      <w:r>
        <w:rPr>
          <w:rFonts w:ascii="Calibri" w:hAnsi="Calibri"/>
          <w:b/>
          <w:color w:val="2B4C7E"/>
          <w:sz w:val="24"/>
        </w:rPr>
        <w:t>Q3: How does this system integrate with legacy PSU ERP systems like SAIL/RINL's SAP S/4HANA or MSTC e-Procurement?</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Standard REST/JSON APIs</w:t>
      </w:r>
      <w:r>
        <w:rPr>
          <w:rFonts w:ascii="Calibri" w:hAnsi="Calibri"/>
          <w:sz w:val="21"/>
        </w:rPr>
        <w:t xml:space="preserve">: The backend is architected in FastAPI with strict Pydantic V2 data contracts. Any enterprise ERP (SAP, Oracle, or custom PSU portals) can trigger optimization jobs via </w:t>
      </w:r>
      <w:r>
        <w:rPr>
          <w:rFonts w:ascii="Consolas" w:hAnsi="Consolas"/>
          <w:color w:val="1E40AF"/>
          <w:sz w:val="19"/>
        </w:rPr>
        <w:t>POST /api/v1/optimize</w:t>
      </w:r>
      <w:r>
        <w:rPr>
          <w:rFonts w:ascii="Calibri" w:hAnsi="Calibri"/>
          <w:sz w:val="21"/>
        </w:rPr>
        <w:t xml:space="preserve"> and consume output schedules directly.</w:t>
      </w:r>
    </w:p>
    <w:p>
      <w:pPr>
        <w:pStyle w:val="ListBullet"/>
        <w:spacing w:before="20" w:after="20"/>
        <w:ind w:left="360"/>
      </w:pPr>
      <w:r>
        <w:rPr>
          <w:rFonts w:ascii="Calibri" w:hAnsi="Calibri"/>
          <w:b/>
          <w:color w:val="111827"/>
          <w:sz w:val="21"/>
        </w:rPr>
        <w:t>ERP Webhook Compatibility</w:t>
      </w:r>
      <w:r>
        <w:rPr>
          <w:rFonts w:ascii="Calibri" w:hAnsi="Calibri"/>
          <w:sz w:val="21"/>
        </w:rPr>
        <w:t xml:space="preserve">: The optimization outputs contain standard enterprise procurement fields: </w:t>
      </w:r>
      <w:r>
        <w:rPr>
          <w:rFonts w:ascii="Consolas" w:hAnsi="Consolas"/>
          <w:color w:val="1E40AF"/>
          <w:sz w:val="19"/>
        </w:rPr>
        <w:t>PO_Date</w:t>
      </w:r>
      <w:r>
        <w:rPr>
          <w:rFonts w:ascii="Calibri" w:hAnsi="Calibri"/>
          <w:sz w:val="21"/>
        </w:rPr>
        <w:t xml:space="preserve">, </w:t>
      </w:r>
      <w:r>
        <w:rPr>
          <w:rFonts w:ascii="Consolas" w:hAnsi="Consolas"/>
          <w:color w:val="1E40AF"/>
          <w:sz w:val="19"/>
        </w:rPr>
        <w:t>Vessel_Category</w:t>
      </w:r>
      <w:r>
        <w:rPr>
          <w:rFonts w:ascii="Calibri" w:hAnsi="Calibri"/>
          <w:sz w:val="21"/>
        </w:rPr>
        <w:t xml:space="preserve">, </w:t>
      </w:r>
      <w:r>
        <w:rPr>
          <w:rFonts w:ascii="Consolas" w:hAnsi="Consolas"/>
          <w:color w:val="1E40AF"/>
          <w:sz w:val="19"/>
        </w:rPr>
        <w:t>Target_Port</w:t>
      </w:r>
      <w:r>
        <w:rPr>
          <w:rFonts w:ascii="Calibri" w:hAnsi="Calibri"/>
          <w:sz w:val="21"/>
        </w:rPr>
        <w:t xml:space="preserve">, </w:t>
      </w:r>
      <w:r>
        <w:rPr>
          <w:rFonts w:ascii="Consolas" w:hAnsi="Consolas"/>
          <w:color w:val="1E40AF"/>
          <w:sz w:val="19"/>
        </w:rPr>
        <w:t>Tonnage_MT</w:t>
      </w:r>
      <w:r>
        <w:rPr>
          <w:rFonts w:ascii="Calibri" w:hAnsi="Calibri"/>
          <w:sz w:val="21"/>
        </w:rPr>
        <w:t xml:space="preserve">, </w:t>
      </w:r>
      <w:r>
        <w:rPr>
          <w:rFonts w:ascii="Consolas" w:hAnsi="Consolas"/>
          <w:color w:val="1E40AF"/>
          <w:sz w:val="19"/>
        </w:rPr>
        <w:t>Benchmark_Rate_USD</w:t>
      </w:r>
      <w:r>
        <w:rPr>
          <w:rFonts w:ascii="Calibri" w:hAnsi="Calibri"/>
          <w:sz w:val="21"/>
        </w:rPr>
        <w:t xml:space="preserve">, and </w:t>
      </w:r>
      <w:r>
        <w:rPr>
          <w:rFonts w:ascii="Consolas" w:hAnsi="Consolas"/>
          <w:color w:val="1E40AF"/>
          <w:sz w:val="19"/>
        </w:rPr>
        <w:t>Estimated_INR_Cost</w:t>
      </w:r>
      <w:r>
        <w:rPr>
          <w:rFonts w:ascii="Calibri" w:hAnsi="Calibri"/>
          <w:sz w:val="21"/>
        </w:rPr>
        <w:t>.</w:t>
      </w:r>
    </w:p>
    <w:p>
      <w:pPr>
        <w:pStyle w:val="ListBullet"/>
        <w:spacing w:before="20" w:after="20"/>
        <w:ind w:left="360"/>
      </w:pPr>
      <w:r>
        <w:rPr>
          <w:rFonts w:ascii="Calibri" w:hAnsi="Calibri"/>
          <w:b/>
          <w:color w:val="111827"/>
          <w:sz w:val="21"/>
        </w:rPr>
        <w:t>Database Interoperability</w:t>
      </w:r>
      <w:r>
        <w:rPr>
          <w:rFonts w:ascii="Calibri" w:hAnsi="Calibri"/>
          <w:sz w:val="21"/>
        </w:rPr>
        <w:t>: TimescaleDB is built on standard PostgreSQL 15, allowing direct integration via standard ODBC/JDBC connectors into SAP Data Services and PowerBI/Tableau executive dashboards.</w:t>
      </w:r>
    </w:p>
    <w:p>
      <w:pPr>
        <w:spacing w:before="40" w:after="80"/>
      </w:pPr>
      <w:r>
        <w:rPr>
          <w:rFonts w:ascii="Calibri" w:hAnsi="Calibri"/>
          <w:sz w:val="21"/>
        </w:rPr>
        <w:t>---</w:t>
      </w:r>
    </w:p>
    <w:p>
      <w:pPr>
        <w:pStyle w:val="Heading3"/>
        <w:spacing w:before="160" w:after="60"/>
      </w:pPr>
      <w:r>
        <w:rPr>
          <w:rFonts w:ascii="Calibri" w:hAnsi="Calibri"/>
          <w:b/>
          <w:color w:val="2B4C7E"/>
          <w:sz w:val="24"/>
        </w:rPr>
        <w:t>Q4: How does the system handle long-term Contracts of Affreightment (COA) versus Spot Market chartering?</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Baseline Allocation vs Spot Arbitrage</w:t>
      </w:r>
      <w:r>
        <w:rPr>
          <w:rFonts w:ascii="Calibri" w:hAnsi="Calibri"/>
          <w:sz w:val="21"/>
        </w:rPr>
        <w:t>: Most PSUs maintain a baseline COA (e.g., 60% of annual volume under fixed long-term rate contracts) and procure the remaining 40% on the spot market.</w:t>
      </w:r>
    </w:p>
    <w:p>
      <w:pPr>
        <w:pStyle w:val="ListBullet"/>
        <w:spacing w:before="20" w:after="20"/>
        <w:ind w:left="360"/>
      </w:pPr>
      <w:r>
        <w:rPr>
          <w:rFonts w:ascii="Calibri" w:hAnsi="Calibri"/>
          <w:b/>
          <w:color w:val="111827"/>
          <w:sz w:val="21"/>
        </w:rPr>
        <w:t>Dual-Mode MILP Formulations</w:t>
      </w:r>
      <w:r>
        <w:rPr>
          <w:rFonts w:ascii="Calibri" w:hAnsi="Calibri"/>
          <w:sz w:val="21"/>
        </w:rPr>
        <w:t>: The optimizer can ingest existing COA commitments as equality constraints ($x_{\text{COA}, t} = \text{committed}$) and optimize the spot vessel allocation around those pre-committed ships.</w:t>
      </w:r>
    </w:p>
    <w:p>
      <w:pPr>
        <w:pStyle w:val="ListBullet"/>
        <w:spacing w:before="20" w:after="20"/>
        <w:ind w:left="360"/>
      </w:pPr>
      <w:r>
        <w:rPr>
          <w:rFonts w:ascii="Calibri" w:hAnsi="Calibri"/>
          <w:b/>
          <w:color w:val="111827"/>
          <w:sz w:val="21"/>
        </w:rPr>
        <w:t>Charter Window Arbitrage</w:t>
      </w:r>
      <w:r>
        <w:rPr>
          <w:rFonts w:ascii="Calibri" w:hAnsi="Calibri"/>
          <w:sz w:val="21"/>
        </w:rPr>
        <w:t>: If forward forecasted spot rates dip below the COA escalation threshold, the system flags an arbitrage alert recommending maximizing spot allocation within permissible tender bands.</w:t>
      </w:r>
    </w:p>
    <w:p>
      <w:pPr>
        <w:spacing w:before="40" w:after="80"/>
      </w:pPr>
      <w:r>
        <w:rPr>
          <w:rFonts w:ascii="Calibri" w:hAnsi="Calibri"/>
          <w:sz w:val="21"/>
        </w:rPr>
        <w:t>---</w:t>
      </w:r>
    </w:p>
    <w:p>
      <w:pPr>
        <w:pStyle w:val="Heading3"/>
        <w:spacing w:before="160" w:after="60"/>
      </w:pPr>
      <w:r>
        <w:rPr>
          <w:rFonts w:ascii="Calibri" w:hAnsi="Calibri"/>
          <w:b/>
          <w:color w:val="2B4C7E"/>
          <w:sz w:val="24"/>
        </w:rPr>
        <w:t>Q5: How do you handle external API rate limits and network failures when fetching market data?</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Local TimescaleDB Caching</w:t>
      </w:r>
      <w:r>
        <w:rPr>
          <w:rFonts w:ascii="Calibri" w:hAnsi="Calibri"/>
          <w:sz w:val="21"/>
        </w:rPr>
        <w:t>: All ingested market telemetry is persisted into local TimescaleDB hypertables. API lookups query local storage first.</w:t>
      </w:r>
    </w:p>
    <w:p>
      <w:pPr>
        <w:pStyle w:val="ListBullet"/>
        <w:spacing w:before="20" w:after="20"/>
        <w:ind w:left="360"/>
      </w:pPr>
      <w:r>
        <w:rPr>
          <w:rFonts w:ascii="Calibri" w:hAnsi="Calibri"/>
          <w:b/>
          <w:color w:val="111827"/>
          <w:sz w:val="21"/>
        </w:rPr>
        <w:t>Graceful Fallback Pipeline</w:t>
      </w:r>
      <w:r>
        <w:rPr>
          <w:rFonts w:ascii="Calibri" w:hAnsi="Calibri"/>
          <w:sz w:val="21"/>
        </w:rPr>
        <w:t>: If live API feeds (e.g., Yahoo Finance, Baltic proxies) fail or hit rate limits, the data ingestion pipeline automatically falls back to an exponential smoothing forward projection anchored to the last verified historical close.</w:t>
      </w:r>
    </w:p>
    <w:p>
      <w:pPr>
        <w:pStyle w:val="ListBullet"/>
        <w:spacing w:before="20" w:after="20"/>
        <w:ind w:left="360"/>
      </w:pPr>
      <w:r>
        <w:rPr>
          <w:rFonts w:ascii="Calibri" w:hAnsi="Calibri"/>
          <w:b/>
          <w:color w:val="111827"/>
          <w:sz w:val="21"/>
        </w:rPr>
        <w:t>Asynchronous Retry Architecture</w:t>
      </w:r>
      <w:r>
        <w:rPr>
          <w:rFonts w:ascii="Calibri" w:hAnsi="Calibri"/>
          <w:sz w:val="21"/>
        </w:rPr>
        <w:t xml:space="preserve">: Ingestion jobs run asynchronously in background tasks with exponential backoff and error logging in the </w:t>
      </w:r>
      <w:r>
        <w:rPr>
          <w:rFonts w:ascii="Consolas" w:hAnsi="Consolas"/>
          <w:color w:val="1E40AF"/>
          <w:sz w:val="19"/>
        </w:rPr>
        <w:t>optimization_logs</w:t>
      </w:r>
      <w:r>
        <w:rPr>
          <w:rFonts w:ascii="Calibri" w:hAnsi="Calibri"/>
          <w:sz w:val="21"/>
        </w:rPr>
        <w:t xml:space="preserve"> table.</w:t>
      </w:r>
    </w:p>
    <w:p>
      <w:pPr>
        <w:spacing w:before="40" w:after="80"/>
      </w:pPr>
      <w:r>
        <w:rPr>
          <w:rFonts w:ascii="Calibri" w:hAnsi="Calibri"/>
          <w:sz w:val="21"/>
        </w:rPr>
        <w:t>---</w:t>
      </w:r>
    </w:p>
    <w:p>
      <w:pPr>
        <w:pStyle w:val="Heading3"/>
        <w:spacing w:before="160" w:after="60"/>
      </w:pPr>
      <w:r>
        <w:rPr>
          <w:rFonts w:ascii="Calibri" w:hAnsi="Calibri"/>
          <w:b/>
          <w:color w:val="2B4C7E"/>
          <w:sz w:val="24"/>
        </w:rPr>
        <w:t>Q6: Port drafts are dynamic depending on tidal variations and dredging. How does your model account for this?</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Dynamic Port Constraint Ingestion</w:t>
      </w:r>
      <w:r>
        <w:rPr>
          <w:rFonts w:ascii="Calibri" w:hAnsi="Calibri"/>
          <w:sz w:val="21"/>
        </w:rPr>
        <w:t xml:space="preserve">: Port drafts are not hardcoded constants; they are dynamic parameters stored in the </w:t>
      </w:r>
      <w:r>
        <w:rPr>
          <w:rFonts w:ascii="Consolas" w:hAnsi="Consolas"/>
          <w:color w:val="1E40AF"/>
          <w:sz w:val="19"/>
        </w:rPr>
        <w:t>port_data</w:t>
      </w:r>
      <w:r>
        <w:rPr>
          <w:rFonts w:ascii="Calibri" w:hAnsi="Calibri"/>
          <w:sz w:val="21"/>
        </w:rPr>
        <w:t xml:space="preserve"> table.</w:t>
      </w:r>
    </w:p>
    <w:p>
      <w:pPr>
        <w:pStyle w:val="ListBullet"/>
        <w:spacing w:before="20" w:after="20"/>
        <w:ind w:left="360"/>
      </w:pPr>
      <w:r>
        <w:rPr>
          <w:rFonts w:ascii="Calibri" w:hAnsi="Calibri"/>
          <w:b/>
          <w:color w:val="111827"/>
          <w:sz w:val="21"/>
        </w:rPr>
        <w:t>Tide &amp; Dredging Parameter Updates</w:t>
      </w:r>
      <w:r>
        <w:rPr>
          <w:rFonts w:ascii="Calibri" w:hAnsi="Calibri"/>
          <w:sz w:val="21"/>
        </w:rPr>
        <w:t xml:space="preserve">: Port authorities or logistics managers can update the daily allowable draft via </w:t>
      </w:r>
      <w:r>
        <w:rPr>
          <w:rFonts w:ascii="Consolas" w:hAnsi="Consolas"/>
          <w:color w:val="1E40AF"/>
          <w:sz w:val="19"/>
        </w:rPr>
        <w:t>POST /api/v1/port-data</w:t>
      </w:r>
      <w:r>
        <w:rPr>
          <w:rFonts w:ascii="Calibri" w:hAnsi="Calibri"/>
          <w:sz w:val="21"/>
        </w:rPr>
        <w:t xml:space="preserve"> (e.g., adjusting Paradip outer berth draft from 14.5m down to 13.8m during low-tide dredging).</w:t>
      </w:r>
    </w:p>
    <w:p>
      <w:pPr>
        <w:pStyle w:val="ListBullet"/>
        <w:spacing w:before="20" w:after="20"/>
        <w:ind w:left="360"/>
      </w:pPr>
      <w:r>
        <w:rPr>
          <w:rFonts w:ascii="Calibri" w:hAnsi="Calibri"/>
          <w:b/>
          <w:color w:val="111827"/>
          <w:sz w:val="21"/>
        </w:rPr>
        <w:t>Zero-Code Solver Adaptation</w:t>
      </w:r>
      <w:r>
        <w:rPr>
          <w:rFonts w:ascii="Calibri" w:hAnsi="Calibri"/>
          <w:sz w:val="21"/>
        </w:rPr>
        <w:t>: The MILP model dynamically pulls the latest recorded draft limit during the optimization run, immediately recalculating vessel eligibility without requiring code changes or server restarts.</w:t>
      </w:r>
    </w:p>
    <w:p>
      <w:pPr>
        <w:spacing w:before="40" w:after="80"/>
      </w:pPr>
      <w:r>
        <w:rPr>
          <w:rFonts w:ascii="Calibri" w:hAnsi="Calibri"/>
          <w:sz w:val="21"/>
        </w:rPr>
        <w:t>---</w:t>
      </w:r>
    </w:p>
    <w:p>
      <w:pPr>
        <w:pStyle w:val="Heading3"/>
        <w:spacing w:before="160" w:after="60"/>
      </w:pPr>
      <w:r>
        <w:rPr>
          <w:rFonts w:ascii="Calibri" w:hAnsi="Calibri"/>
          <w:b/>
          <w:color w:val="2B4C7E"/>
          <w:sz w:val="24"/>
        </w:rPr>
        <w:t>Q7: How are demurrage penalties and port congestion integrated into the optimization cost function?</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Landed Cost Formulation</w:t>
      </w:r>
      <w:r>
        <w:rPr>
          <w:rFonts w:ascii="Calibri" w:hAnsi="Calibri"/>
          <w:sz w:val="21"/>
        </w:rPr>
        <w:t xml:space="preserve">: The objective function does not just minimize ocean freight rate $(\$/\text{MT})$; it minimizes </w:t>
      </w:r>
      <w:r>
        <w:rPr>
          <w:rFonts w:ascii="Calibri" w:hAnsi="Calibri"/>
          <w:b/>
          <w:color w:val="111827"/>
          <w:sz w:val="21"/>
        </w:rPr>
        <w:t>Total Landed Cost</w:t>
      </w:r>
      <w:r>
        <w:rPr>
          <w:rFonts w:ascii="Calibri" w:hAnsi="Calibri"/>
          <w:sz w:val="21"/>
        </w:rPr>
        <w:t>:</w:t>
      </w:r>
    </w:p>
    <w:p>
      <w:pPr>
        <w:spacing w:before="40" w:after="80"/>
      </w:pPr>
      <w:r>
        <w:rPr>
          <w:rFonts w:ascii="Calibri" w:hAnsi="Calibri"/>
          <w:sz w:val="21"/>
        </w:rPr>
        <w:t xml:space="preserve">  $$\text{Min} \sum_{t} \sum_{v} \left[ \text{Freight}(v, t) \cdot \text{Cap}(v) + \text{Mobilization}(v) + (\text{WaitingHours}(P) \times \text{DemurrageRate}(v)) \right]$$</w:t>
      </w:r>
    </w:p>
    <w:p>
      <w:pPr>
        <w:pStyle w:val="ListBullet"/>
        <w:spacing w:before="20" w:after="20"/>
        <w:ind w:left="360"/>
      </w:pPr>
      <w:r>
        <w:rPr>
          <w:rFonts w:ascii="Calibri" w:hAnsi="Calibri"/>
          <w:b/>
          <w:color w:val="111827"/>
          <w:sz w:val="21"/>
        </w:rPr>
        <w:t>Congestion Avoidance</w:t>
      </w:r>
      <w:r>
        <w:rPr>
          <w:rFonts w:ascii="Calibri" w:hAnsi="Calibri"/>
          <w:sz w:val="21"/>
        </w:rPr>
        <w:t>: If port waiting times at Visakhapatnam spike to 48 hours during peak monsoon, the solver factors in $\$25,000/\text{day}$ demurrage penalties and recommends shifting the charter window or splitting parcel volumes to reduce queue times.</w:t>
      </w:r>
    </w:p>
    <w:p>
      <w:pPr>
        <w:spacing w:before="40" w:after="80"/>
      </w:pPr>
      <w:r>
        <w:rPr>
          <w:rFonts w:ascii="Calibri" w:hAnsi="Calibri"/>
          <w:sz w:val="21"/>
        </w:rPr>
        <w:t>---</w:t>
      </w:r>
    </w:p>
    <w:p>
      <w:pPr>
        <w:pStyle w:val="Heading3"/>
        <w:spacing w:before="160" w:after="60"/>
      </w:pPr>
      <w:r>
        <w:rPr>
          <w:rFonts w:ascii="Calibri" w:hAnsi="Calibri"/>
          <w:b/>
          <w:color w:val="2B4C7E"/>
          <w:sz w:val="24"/>
        </w:rPr>
        <w:t>Q8: What if a sudden black-swan disruption occurs (e.g., Red Sea crisis, Panama Canal drought, or severe Bay of Bengal cyclone)?</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"What-If" Maritime Disruption Simulator</w:t>
      </w:r>
      <w:r>
        <w:rPr>
          <w:rFonts w:ascii="Calibri" w:hAnsi="Calibri"/>
          <w:sz w:val="21"/>
        </w:rPr>
        <w:t>: We built a dedicated scenario simulator directly into the user interface.</w:t>
      </w:r>
    </w:p>
    <w:p>
      <w:pPr>
        <w:pStyle w:val="ListBullet"/>
        <w:spacing w:before="20" w:after="20"/>
        <w:ind w:left="360"/>
      </w:pPr>
      <w:r>
        <w:rPr>
          <w:rFonts w:ascii="Calibri" w:hAnsi="Calibri"/>
          <w:b/>
          <w:color w:val="111827"/>
          <w:sz w:val="21"/>
        </w:rPr>
        <w:t>Pre-Configured Stress Tests</w:t>
      </w:r>
      <w:r>
        <w:rPr>
          <w:rFonts w:ascii="Calibri" w:hAnsi="Calibri"/>
          <w:sz w:val="21"/>
        </w:rPr>
        <w:t>:</w:t>
      </w:r>
    </w:p>
    <w:p>
      <w:pPr>
        <w:pStyle w:val="ListBullet"/>
        <w:spacing w:before="20" w:after="20"/>
        <w:ind w:left="720"/>
      </w:pPr>
      <w:r>
        <w:rPr>
          <w:rFonts w:ascii="Calibri" w:hAnsi="Calibri"/>
          <w:i/>
          <w:sz w:val="21"/>
        </w:rPr>
        <w:t>Monsoon / Cyclonic Congestion at Vizag</w:t>
      </w:r>
      <w:r>
        <w:rPr>
          <w:rFonts w:ascii="Calibri" w:hAnsi="Calibri"/>
          <w:sz w:val="21"/>
        </w:rPr>
        <w:t>: Tests resilience against severe berth delay spikes.</w:t>
      </w:r>
    </w:p>
    <w:p>
      <w:pPr>
        <w:pStyle w:val="ListBullet"/>
        <w:spacing w:before="20" w:after="20"/>
        <w:ind w:left="720"/>
      </w:pPr>
      <w:r>
        <w:rPr>
          <w:rFonts w:ascii="Calibri" w:hAnsi="Calibri"/>
          <w:i/>
          <w:sz w:val="21"/>
        </w:rPr>
        <w:t>Riverine Siltation at Haldia</w:t>
      </w:r>
      <w:r>
        <w:rPr>
          <w:rFonts w:ascii="Calibri" w:hAnsi="Calibri"/>
          <w:sz w:val="21"/>
        </w:rPr>
        <w:t>: Tests automated fleet downsizing to Supramax.</w:t>
      </w:r>
    </w:p>
    <w:p>
      <w:pPr>
        <w:pStyle w:val="ListBullet"/>
        <w:spacing w:before="20" w:after="20"/>
        <w:ind w:left="720"/>
      </w:pPr>
      <w:r>
        <w:rPr>
          <w:rFonts w:ascii="Calibri" w:hAnsi="Calibri"/>
          <w:i/>
          <w:sz w:val="21"/>
        </w:rPr>
        <w:t>Mega-Import at Dhamra Deepwater</w:t>
      </w:r>
      <w:r>
        <w:rPr>
          <w:rFonts w:ascii="Calibri" w:hAnsi="Calibri"/>
          <w:sz w:val="21"/>
        </w:rPr>
        <w:t>: Tests fleet consolidation into Capesize bulkers.</w:t>
      </w:r>
    </w:p>
    <w:p>
      <w:pPr>
        <w:pStyle w:val="ListBullet"/>
        <w:spacing w:before="20" w:after="20"/>
        <w:ind w:left="360"/>
      </w:pPr>
      <w:r>
        <w:rPr>
          <w:rFonts w:ascii="Calibri" w:hAnsi="Calibri"/>
          <w:b/>
          <w:color w:val="111827"/>
          <w:sz w:val="21"/>
        </w:rPr>
        <w:t>Rapid Re-optimization</w:t>
      </w:r>
      <w:r>
        <w:rPr>
          <w:rFonts w:ascii="Calibri" w:hAnsi="Calibri"/>
          <w:sz w:val="21"/>
        </w:rPr>
        <w:t>: Users can adjust parameters and re-solve in 100ms, enabling contingency planning in crisis management war rooms.</w:t>
      </w:r>
    </w:p>
    <w:p>
      <w:pPr>
        <w:spacing w:before="40" w:after="80"/>
      </w:pPr>
      <w:r>
        <w:rPr>
          <w:rFonts w:ascii="Calibri" w:hAnsi="Calibri"/>
          <w:sz w:val="21"/>
        </w:rPr>
        <w:t>---</w:t>
      </w:r>
    </w:p>
    <w:p>
      <w:pPr>
        <w:pStyle w:val="Heading3"/>
        <w:spacing w:before="160" w:after="60"/>
      </w:pPr>
      <w:r>
        <w:rPr>
          <w:rFonts w:ascii="Calibri" w:hAnsi="Calibri"/>
          <w:b/>
          <w:color w:val="2B4C7E"/>
          <w:sz w:val="24"/>
        </w:rPr>
        <w:t>Q9: Is the system secure and compliant with Government of India IT / Cloud standards (MeitY/NIC)?</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On-Premise / Private Cloud Deployable</w:t>
      </w:r>
      <w:r>
        <w:rPr>
          <w:rFonts w:ascii="Calibri" w:hAnsi="Calibri"/>
          <w:sz w:val="21"/>
        </w:rPr>
        <w:t>: The entire application is 100% containerized with Docker and Docker Compose. It can be deployed inside PSU sovereign VPCs, NIC Cloud, or air-gapped on-premise servers.</w:t>
      </w:r>
    </w:p>
    <w:p>
      <w:pPr>
        <w:pStyle w:val="ListBullet"/>
        <w:spacing w:before="20" w:after="20"/>
        <w:ind w:left="360"/>
      </w:pPr>
      <w:r>
        <w:rPr>
          <w:rFonts w:ascii="Calibri" w:hAnsi="Calibri"/>
          <w:b/>
          <w:color w:val="111827"/>
          <w:sz w:val="21"/>
        </w:rPr>
        <w:t>Stateless &amp; Open-Source Stack</w:t>
      </w:r>
      <w:r>
        <w:rPr>
          <w:rFonts w:ascii="Calibri" w:hAnsi="Calibri"/>
          <w:sz w:val="21"/>
        </w:rPr>
        <w:t>: Utilizes production-grade, open-source enterprise components (PostgreSQL, FastAPI, Next.js, PuLP CBC) with zero proprietary SaaS lock-in or outbound data leakage.</w:t>
      </w:r>
    </w:p>
    <w:p>
      <w:pPr>
        <w:pStyle w:val="ListBullet"/>
        <w:spacing w:before="20" w:after="20"/>
        <w:ind w:left="360"/>
      </w:pPr>
      <w:r>
        <w:rPr>
          <w:rFonts w:ascii="Calibri" w:hAnsi="Calibri"/>
          <w:b/>
          <w:color w:val="111827"/>
          <w:sz w:val="21"/>
        </w:rPr>
        <w:t>Role-Based Access Ready</w:t>
      </w:r>
      <w:r>
        <w:rPr>
          <w:rFonts w:ascii="Calibri" w:hAnsi="Calibri"/>
          <w:sz w:val="21"/>
        </w:rPr>
        <w:t>: Database schema and FastAPI routing structure support OAuth2 / JWT authentication for granular procurement officer and executive auditor roles.</w:t>
      </w:r>
    </w:p>
    <w:p>
      <w:pPr>
        <w:spacing w:before="40" w:after="80"/>
      </w:pPr>
      <w:r>
        <w:rPr>
          <w:rFonts w:ascii="Calibri" w:hAnsi="Calibri"/>
          <w:sz w:val="21"/>
        </w:rPr>
        <w:t>---</w:t>
      </w:r>
    </w:p>
    <w:p>
      <w:pPr>
        <w:pStyle w:val="Heading3"/>
        <w:spacing w:before="160" w:after="60"/>
      </w:pPr>
      <w:r>
        <w:rPr>
          <w:rFonts w:ascii="Calibri" w:hAnsi="Calibri"/>
          <w:b/>
          <w:color w:val="2B4C7E"/>
          <w:sz w:val="24"/>
        </w:rPr>
        <w:t>Q10: What is the estimated financial impact / ROI for an enterprise like SAIL or RINL?</w:t>
      </w:r>
    </w:p>
    <w:p>
      <w:pPr>
        <w:spacing w:before="40" w:after="80"/>
      </w:pPr>
      <w:r>
        <w:rPr>
          <w:rFonts w:ascii="Calibri" w:hAnsi="Calibri"/>
          <w:b/>
          <w:color w:val="111827"/>
          <w:sz w:val="21"/>
        </w:rPr>
        <w:t>Answer</w:t>
      </w:r>
      <w:r>
        <w:rPr>
          <w:rFonts w:ascii="Calibri" w:hAnsi="Calibri"/>
          <w:sz w:val="21"/>
        </w:rPr>
        <w:t>:</w:t>
      </w:r>
    </w:p>
    <w:p>
      <w:pPr>
        <w:pStyle w:val="ListBullet"/>
        <w:spacing w:before="20" w:after="20"/>
        <w:ind w:left="360"/>
      </w:pPr>
      <w:r>
        <w:rPr>
          <w:rFonts w:ascii="Calibri" w:hAnsi="Calibri"/>
          <w:b/>
          <w:color w:val="111827"/>
          <w:sz w:val="21"/>
        </w:rPr>
        <w:t>Scale of Procurement</w:t>
      </w:r>
      <w:r>
        <w:rPr>
          <w:rFonts w:ascii="Calibri" w:hAnsi="Calibri"/>
          <w:sz w:val="21"/>
        </w:rPr>
        <w:t>: An integrated steel plant consuming 10 MT of imported coal spends $\approx \$200\text{–}\$250\text{ Million}$ annually on ocean freight.</w:t>
      </w:r>
    </w:p>
    <w:p>
      <w:pPr>
        <w:pStyle w:val="ListBullet"/>
        <w:spacing w:before="20" w:after="20"/>
        <w:ind w:left="360"/>
      </w:pPr>
      <w:r>
        <w:rPr>
          <w:rFonts w:ascii="Calibri" w:hAnsi="Calibri"/>
          <w:b/>
          <w:color w:val="111827"/>
          <w:sz w:val="21"/>
        </w:rPr>
        <w:t>Conservative 3–5% Freight Optimization</w:t>
      </w:r>
      <w:r>
        <w:rPr>
          <w:rFonts w:ascii="Calibri" w:hAnsi="Calibri"/>
          <w:sz w:val="21"/>
        </w:rPr>
        <w:t xml:space="preserve">: Saving just $\$0.80\text{–}\$1.20/\text{MT}$ through optimized charter timing and vessel class matching translates to </w:t>
      </w:r>
      <w:r>
        <w:rPr>
          <w:rFonts w:ascii="Calibri" w:hAnsi="Calibri"/>
          <w:b/>
          <w:color w:val="111827"/>
          <w:sz w:val="21"/>
        </w:rPr>
        <w:t>\$8 to \$12 Million (₹65 to ₹100 Crore) in direct annual savings</w:t>
      </w:r>
      <w:r>
        <w:rPr>
          <w:rFonts w:ascii="Calibri" w:hAnsi="Calibri"/>
          <w:sz w:val="21"/>
        </w:rPr>
        <w:t>.</w:t>
      </w:r>
    </w:p>
    <w:p>
      <w:pPr>
        <w:pStyle w:val="ListBullet"/>
        <w:spacing w:before="20" w:after="20"/>
        <w:ind w:left="360"/>
      </w:pPr>
      <w:r>
        <w:rPr>
          <w:rFonts w:ascii="Calibri" w:hAnsi="Calibri"/>
          <w:b/>
          <w:color w:val="111827"/>
          <w:sz w:val="21"/>
        </w:rPr>
        <w:t>Demurrage Reduction</w:t>
      </w:r>
      <w:r>
        <w:rPr>
          <w:rFonts w:ascii="Calibri" w:hAnsi="Calibri"/>
          <w:sz w:val="21"/>
        </w:rPr>
        <w:t xml:space="preserve">: Eliminating 15–20 stranded vessel days per plant saves an additional </w:t>
      </w:r>
      <w:r>
        <w:rPr>
          <w:rFonts w:ascii="Calibri" w:hAnsi="Calibri"/>
          <w:b/>
          <w:color w:val="111827"/>
          <w:sz w:val="21"/>
        </w:rPr>
        <w:t>\$500,000 (₹4+ Crore)</w:t>
      </w:r>
      <w:r>
        <w:rPr>
          <w:rFonts w:ascii="Calibri" w:hAnsi="Calibri"/>
          <w:sz w:val="21"/>
        </w:rPr>
        <w:t xml:space="preserve"> annually in avoided penalties.</w:t>
      </w:r>
    </w:p>
    <w:p>
      <w:pPr>
        <w:pStyle w:val="ListBullet"/>
        <w:spacing w:before="20" w:after="20"/>
        <w:ind w:left="360"/>
      </w:pPr>
      <w:r>
        <w:rPr>
          <w:rFonts w:ascii="Calibri" w:hAnsi="Calibri"/>
          <w:b/>
          <w:color w:val="111827"/>
          <w:sz w:val="21"/>
        </w:rPr>
        <w:t>Payback Period</w:t>
      </w:r>
      <w:r>
        <w:rPr>
          <w:rFonts w:ascii="Calibri" w:hAnsi="Calibri"/>
          <w:sz w:val="21"/>
        </w:rPr>
        <w:t>: The system pays for itself on the very first multi-vessel procurement cycle.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