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i/>
          <w:color w:val="555555"/>
          <w:sz w:val="20"/>
        </w:rPr>
        <w:t>Week 5 – 6  ·  Fraud Loss Analytics Platform</w:t>
      </w:r>
    </w:p>
    <w:p>
      <w:pPr>
        <w:spacing w:before="0" w:after="80"/>
      </w:pPr>
      <w:r>
        <w:rPr>
          <w:b/>
          <w:color w:val="1F497D"/>
          <w:sz w:val="44"/>
        </w:rPr>
        <w:t>Visualization &amp; Executive Reporting</w:t>
      </w:r>
    </w:p>
    <w:p>
      <w:pPr>
        <w:spacing w:before="0" w:after="0"/>
      </w:pPr>
      <w:r>
        <w:rPr>
          <w:i/>
          <w:color w:val="555555"/>
          <w:sz w:val="24"/>
        </w:rPr>
        <w:t>Power BI dashboard (10 visuals) · Executive memo · Technical architecture document</w:t>
      </w:r>
    </w:p>
    <w:p>
      <w:pPr>
        <w:spacing w:before="40" w:after="160"/>
        <w:pBdr>
          <w:bottom w:val="single" w:sz="10" w:space="1" w:color="1F497D"/>
        </w:pBdr>
      </w:pPr>
    </w:p>
    <w:p>
      <w:pPr>
        <w:spacing w:before="320" w:after="80"/>
      </w:pPr>
      <w:r>
        <w:rPr>
          <w:b/>
          <w:color w:val="1F497D"/>
          <w:sz w:val="28"/>
        </w:rPr>
        <w:t>Overview</w:t>
      </w:r>
    </w:p>
    <w:p>
      <w:pPr>
        <w:spacing w:before="40" w:after="160"/>
        <w:pBdr>
          <w:bottom w:val="single" w:sz="4" w:space="1" w:color="1F497D"/>
        </w:pBdr>
      </w:pPr>
    </w:p>
    <w:p>
      <w:pPr>
        <w:spacing w:before="0" w:after="100"/>
      </w:pPr>
      <w:r>
        <w:rPr>
          <w:color w:val="222222"/>
          <w:sz w:val="22"/>
        </w:rPr>
        <w:t>Week 5 translates all analytical findings into a 10-visual Power BI dashboard designed for executive stakeholder consumption. Week 6 formalises the project with a written executive memo and a technical architecture document — the two artefacts that demonstrate communication skills alongside technical depth.</w:t>
      </w:r>
    </w:p>
    <w:p>
      <w:pPr>
        <w:spacing w:before="320" w:after="80"/>
      </w:pPr>
      <w:r>
        <w:rPr>
          <w:b/>
          <w:color w:val="1F497D"/>
          <w:sz w:val="28"/>
        </w:rPr>
        <w:t>Week 5  —  Power BI Dashboard</w:t>
      </w:r>
    </w:p>
    <w:p>
      <w:pPr>
        <w:spacing w:before="40" w:after="160"/>
        <w:pBdr>
          <w:bottom w:val="single" w:sz="4" w:space="1" w:color="1F497D"/>
        </w:pBdr>
      </w:pPr>
    </w:p>
    <w:p>
      <w:pPr>
        <w:spacing w:before="200" w:after="40"/>
      </w:pPr>
      <w:r>
        <w:rPr>
          <w:b/>
          <w:color w:val="1F497D"/>
          <w:sz w:val="24"/>
        </w:rPr>
        <w:t>Data Connection</w:t>
      </w:r>
    </w:p>
    <w:p>
      <w:pPr>
        <w:spacing w:before="0" w:after="100"/>
      </w:pPr>
      <w:r>
        <w:rPr>
          <w:color w:val="222222"/>
          <w:sz w:val="22"/>
        </w:rPr>
        <w:t>Power BI Desktop connects to the Databricks gold layer via DirectQuery. DAX measures compute fraud rates and loss totals dynamically, so every slicer interaction re-queries the live Delta tables rather than a cached import.</w:t>
      </w:r>
    </w:p>
    <w:p>
      <w:pPr>
        <w:pStyle w:val="ListBullet"/>
        <w:spacing w:before="0" w:after="40"/>
        <w:ind w:left="360"/>
      </w:pPr>
      <w:r>
        <w:rPr>
          <w:b/>
          <w:color w:val="222222"/>
          <w:sz w:val="22"/>
        </w:rPr>
        <w:t xml:space="preserve">Connection: </w:t>
      </w:r>
      <w:r>
        <w:rPr>
          <w:color w:val="222222"/>
          <w:sz w:val="22"/>
        </w:rPr>
        <w:t>Connection type: DirectQuery (not Import — data stays in Databricks)</w:t>
      </w:r>
    </w:p>
    <w:p>
      <w:pPr>
        <w:pStyle w:val="ListBullet"/>
        <w:spacing w:before="0" w:after="40"/>
        <w:ind w:left="360"/>
      </w:pPr>
      <w:r>
        <w:rPr>
          <w:b/>
          <w:color w:val="222222"/>
          <w:sz w:val="22"/>
        </w:rPr>
        <w:t xml:space="preserve">Source: </w:t>
      </w:r>
      <w:r>
        <w:rPr>
          <w:color w:val="222222"/>
          <w:sz w:val="22"/>
        </w:rPr>
        <w:t>Data source: gold.fact_transactions joined to dim_merchant, dim_cardholder, dim_date</w:t>
      </w:r>
    </w:p>
    <w:p>
      <w:pPr>
        <w:pStyle w:val="ListBullet"/>
        <w:spacing w:before="0" w:after="40"/>
        <w:ind w:left="360"/>
      </w:pPr>
      <w:r>
        <w:rPr>
          <w:b/>
          <w:color w:val="222222"/>
          <w:sz w:val="22"/>
        </w:rPr>
        <w:t xml:space="preserve">Refresh: </w:t>
      </w:r>
      <w:r>
        <w:rPr>
          <w:color w:val="222222"/>
          <w:sz w:val="22"/>
        </w:rPr>
        <w:t>Refresh: manual in CE; would be scheduled via Power BI Service in production</w:t>
      </w:r>
    </w:p>
    <w:p>
      <w:pPr>
        <w:spacing w:before="200" w:after="40"/>
      </w:pPr>
      <w:r>
        <w:rPr>
          <w:b/>
          <w:color w:val="1F497D"/>
          <w:sz w:val="24"/>
        </w:rPr>
        <w:t>The 10 Visuals</w:t>
      </w:r>
    </w:p>
    <w:p>
      <w:pPr>
        <w:pStyle w:val="ListBullet"/>
        <w:spacing w:before="0" w:after="40"/>
        <w:ind w:left="360"/>
      </w:pPr>
      <w:r>
        <w:rPr>
          <w:b/>
          <w:color w:val="222222"/>
          <w:sz w:val="22"/>
        </w:rPr>
        <w:t xml:space="preserve">Visual 1: </w:t>
      </w:r>
      <w:r>
        <w:rPr>
          <w:color w:val="222222"/>
          <w:sz w:val="22"/>
        </w:rPr>
        <w:t>KPI Cards (row 1) — Total transactions, total fraud losses, overall fraud rate, average fraud amount — four headline numbers at the top of the dashboard.</w:t>
      </w:r>
    </w:p>
    <w:p>
      <w:pPr>
        <w:pStyle w:val="ListBullet"/>
        <w:spacing w:before="0" w:after="40"/>
        <w:ind w:left="360"/>
      </w:pPr>
      <w:r>
        <w:rPr>
          <w:b/>
          <w:color w:val="222222"/>
          <w:sz w:val="22"/>
        </w:rPr>
        <w:t xml:space="preserve">Visual 2: </w:t>
      </w:r>
      <w:r>
        <w:rPr>
          <w:color w:val="222222"/>
          <w:sz w:val="22"/>
        </w:rPr>
        <w:t>Fraud by Category (bar chart) — Horizontal bar chart sorted by fraud rate descending. shopping_net clearly stands out as the highest-risk category at 1.59%.</w:t>
      </w:r>
    </w:p>
    <w:p>
      <w:pPr>
        <w:pStyle w:val="ListBullet"/>
        <w:spacing w:before="0" w:after="40"/>
        <w:ind w:left="360"/>
      </w:pPr>
      <w:r>
        <w:rPr>
          <w:b/>
          <w:color w:val="222222"/>
          <w:sz w:val="22"/>
        </w:rPr>
        <w:t xml:space="preserve">Visual 3: </w:t>
      </w:r>
      <w:r>
        <w:rPr>
          <w:color w:val="222222"/>
          <w:sz w:val="22"/>
        </w:rPr>
        <w:t>Fraud by Hour (line chart) — Fraud rate by hour of day (0–23). The night-time spike at 22:00–23:59 (2.5–2.6%) vs daytime baseline (~0.09%) is immediately visible.</w:t>
      </w:r>
    </w:p>
    <w:p>
      <w:pPr>
        <w:pStyle w:val="ListBullet"/>
        <w:spacing w:before="0" w:after="40"/>
        <w:ind w:left="360"/>
      </w:pPr>
      <w:r>
        <w:rPr>
          <w:b/>
          <w:color w:val="222222"/>
          <w:sz w:val="22"/>
        </w:rPr>
        <w:t xml:space="preserve">Visual 4: </w:t>
      </w:r>
      <w:r>
        <w:rPr>
          <w:color w:val="222222"/>
          <w:sz w:val="22"/>
        </w:rPr>
        <w:t>Monthly Loss Trend (area chart) — Total fraud losses by calendar month, showing seasonality and the overall trend across 2019–2020.</w:t>
      </w:r>
    </w:p>
    <w:p>
      <w:pPr>
        <w:pStyle w:val="ListBullet"/>
        <w:spacing w:before="0" w:after="40"/>
        <w:ind w:left="360"/>
      </w:pPr>
      <w:r>
        <w:rPr>
          <w:b/>
          <w:color w:val="222222"/>
          <w:sz w:val="22"/>
        </w:rPr>
        <w:t xml:space="preserve">Visual 5: </w:t>
      </w:r>
      <w:r>
        <w:rPr>
          <w:color w:val="222222"/>
          <w:sz w:val="22"/>
        </w:rPr>
        <w:t>Fraud by State (map or heatmap) — Geographic distribution of fraud losses by US state. Choropleth or filled map visual.</w:t>
      </w:r>
    </w:p>
    <w:p>
      <w:pPr>
        <w:pStyle w:val="ListBullet"/>
        <w:spacing w:before="0" w:after="40"/>
        <w:ind w:left="360"/>
      </w:pPr>
      <w:r>
        <w:rPr>
          <w:b/>
          <w:color w:val="222222"/>
          <w:sz w:val="22"/>
        </w:rPr>
        <w:t xml:space="preserve">Visual 6: </w:t>
      </w:r>
      <w:r>
        <w:rPr>
          <w:color w:val="222222"/>
          <w:sz w:val="22"/>
        </w:rPr>
        <w:t>Merchant Cluster Scatter — Scatter plot of merchant clusters from K-Means (fraud rate vs avg amount), coloured by cluster ID.</w:t>
      </w:r>
    </w:p>
    <w:p>
      <w:pPr>
        <w:pStyle w:val="ListBullet"/>
        <w:spacing w:before="0" w:after="40"/>
        <w:ind w:left="360"/>
      </w:pPr>
      <w:r>
        <w:rPr>
          <w:b/>
          <w:color w:val="222222"/>
          <w:sz w:val="22"/>
        </w:rPr>
        <w:t xml:space="preserve">Visual 7: </w:t>
      </w:r>
      <w:r>
        <w:rPr>
          <w:color w:val="222222"/>
          <w:sz w:val="22"/>
        </w:rPr>
        <w:t>Model Threshold Visual — A table or bar chart showing recall, precision, and total cost at thresholds 0.40, 0.50, 0.60, 0.70 — illustrating why 0.60 was chosen.</w:t>
      </w:r>
    </w:p>
    <w:p>
      <w:pPr>
        <w:pStyle w:val="ListBullet"/>
        <w:spacing w:before="0" w:after="40"/>
        <w:ind w:left="360"/>
      </w:pPr>
      <w:r>
        <w:rPr>
          <w:b/>
          <w:color w:val="222222"/>
          <w:sz w:val="22"/>
        </w:rPr>
        <w:t xml:space="preserve">Visual 8: </w:t>
      </w:r>
      <w:r>
        <w:rPr>
          <w:color w:val="222222"/>
          <w:sz w:val="22"/>
        </w:rPr>
        <w:t>Top 10 Merchants by Loss — Bar chart of the 10 merchants with the highest total fraud losses. fraud_Kozey-Boehm is the top merchant.</w:t>
      </w:r>
    </w:p>
    <w:p>
      <w:pPr>
        <w:pStyle w:val="ListBullet"/>
        <w:spacing w:before="0" w:after="40"/>
        <w:ind w:left="360"/>
      </w:pPr>
      <w:r>
        <w:rPr>
          <w:b/>
          <w:color w:val="222222"/>
          <w:sz w:val="22"/>
        </w:rPr>
        <w:t xml:space="preserve">Visual 9: </w:t>
      </w:r>
      <w:r>
        <w:rPr>
          <w:color w:val="222222"/>
          <w:sz w:val="22"/>
        </w:rPr>
        <w:t>Fraud Rate by Day of Week — Column chart showing fraud rate by day (Mon–Sun). Weekends tend to show slightly elevated rates.</w:t>
      </w:r>
    </w:p>
    <w:p>
      <w:pPr>
        <w:pStyle w:val="ListBullet"/>
        <w:spacing w:before="0" w:after="40"/>
        <w:ind w:left="360"/>
      </w:pPr>
      <w:r>
        <w:rPr>
          <w:b/>
          <w:color w:val="222222"/>
          <w:sz w:val="22"/>
        </w:rPr>
        <w:t xml:space="preserve">Visual 10: </w:t>
      </w:r>
      <w:r>
        <w:rPr>
          <w:color w:val="222222"/>
          <w:sz w:val="22"/>
        </w:rPr>
        <w:t>Transaction Volume vs Fraud (dual-axis) — Dual-axis line chart: total transaction volume (left axis) and fraud rate (right axis) over time.</w:t>
      </w:r>
    </w:p>
    <w:p>
      <w:pPr>
        <w:spacing w:before="200" w:after="40"/>
      </w:pPr>
      <w:r>
        <w:rPr>
          <w:b/>
          <w:color w:val="1F497D"/>
          <w:sz w:val="24"/>
        </w:rPr>
        <w:t>Key DAX Measures</w:t>
      </w:r>
    </w:p>
    <w:p>
      <w:pPr>
        <w:spacing w:before="80" w:after="80"/>
        <w:ind w:left="360"/>
        <w:shd w:val="clear" w:color="auto" w:fill="F3F3F3"/>
      </w:pPr>
      <w:r>
        <w:rPr>
          <w:rFonts w:ascii="Courier New" w:hAnsi="Courier New"/>
          <w:color w:val="1E1E1E"/>
          <w:sz w:val="19"/>
        </w:rPr>
        <w:t>Fraud Rate = DIVIDE(COUNTROWS(FILTER(fact_transactions, fact_transactions[is_fraud] = 1)),</w:t>
        <w:br/>
        <w:t xml:space="preserve">             COUNTROWS(fact_transactions))</w:t>
        <w:br/>
        <w:br/>
        <w:t>Total Fraud Losses = SUMX(FILTER(fact_transactions, fact_transactions[is_fraud] = 1),</w:t>
        <w:br/>
        <w:t xml:space="preserve">                     fact_transactions[amt])</w:t>
      </w:r>
    </w:p>
    <w:p>
      <w:pPr>
        <w:spacing w:before="280" w:after="0"/>
        <w:shd w:val="clear" w:color="auto" w:fill="1F497D"/>
      </w:pPr>
      <w:r>
        <w:rPr>
          <w:b/>
          <w:color w:val="FFFFFF"/>
          <w:sz w:val="21"/>
        </w:rPr>
        <w:t xml:space="preserve">  SCREENSHOT  ·  Power BI — Full Dashboard Overview (All 10 Visuals)</w:t>
      </w:r>
    </w:p>
    <w:p>
      <w:pPr>
        <w:spacing w:before="0" w:after="0"/>
        <w:jc w:val="center"/>
        <w:shd w:val="clear" w:color="auto" w:fill="E8F0FB"/>
      </w:pPr>
      <w:r>
        <w:rPr>
          <w:i/>
          <w:color w:val="555555"/>
          <w:sz w:val="22"/>
        </w:rPr>
        <w:br/>
        <w:br/>
        <w:br/>
        <w:t>[ INSERT SCREENSHOT HERE  —  resize to fit, keep aspect ratio ]</w:t>
        <w:br/>
        <w:br/>
        <w:br/>
      </w:r>
    </w:p>
    <w:p>
      <w:pPr>
        <w:spacing w:before="0" w:after="0"/>
        <w:shd w:val="clear" w:color="auto" w:fill="FFF3CD"/>
      </w:pPr>
      <w:r>
        <w:rPr>
          <w:b/>
          <w:color w:val="854500"/>
          <w:sz w:val="20"/>
        </w:rPr>
        <w:t xml:space="preserve">  HOW TO CAPTURE THIS SCREENSHOT — follow these steps:</w:t>
      </w:r>
    </w:p>
    <w:p>
      <w:pPr>
        <w:spacing w:before="0" w:after="20"/>
        <w:ind w:left="432"/>
        <w:shd w:val="clear" w:color="auto" w:fill="FFF3CD"/>
      </w:pPr>
      <w:r>
        <w:rPr>
          <w:color w:val="222222"/>
          <w:sz w:val="20"/>
        </w:rPr>
        <w:t xml:space="preserve">  1.  Open Power BI Desktop.</w:t>
      </w:r>
    </w:p>
    <w:p>
      <w:pPr>
        <w:spacing w:before="0" w:after="20"/>
        <w:ind w:left="432"/>
        <w:shd w:val="clear" w:color="auto" w:fill="FFF3CD"/>
      </w:pPr>
      <w:r>
        <w:rPr>
          <w:color w:val="222222"/>
          <w:sz w:val="20"/>
        </w:rPr>
        <w:t xml:space="preserve">  2.  Open the file: docs/Dashboard.pbix from your local project folder.</w:t>
      </w:r>
    </w:p>
    <w:p>
      <w:pPr>
        <w:spacing w:before="0" w:after="20"/>
        <w:ind w:left="432"/>
        <w:shd w:val="clear" w:color="auto" w:fill="FFF3CD"/>
      </w:pPr>
      <w:r>
        <w:rPr>
          <w:color w:val="222222"/>
          <w:sz w:val="20"/>
        </w:rPr>
        <w:t xml:space="preserve">  3.  Make sure you are on the main report page showing all 10 visuals.</w:t>
      </w:r>
    </w:p>
    <w:p>
      <w:pPr>
        <w:spacing w:before="0" w:after="20"/>
        <w:ind w:left="432"/>
        <w:shd w:val="clear" w:color="auto" w:fill="FFF3CD"/>
      </w:pPr>
      <w:r>
        <w:rPr>
          <w:color w:val="222222"/>
          <w:sz w:val="20"/>
        </w:rPr>
        <w:t xml:space="preserve">  4.  Press Ctrl+Shift+F (or View → Fit to Page) to ensure the full dashboard is visible.</w:t>
      </w:r>
    </w:p>
    <w:p>
      <w:pPr>
        <w:spacing w:before="0" w:after="20"/>
        <w:ind w:left="432"/>
        <w:shd w:val="clear" w:color="auto" w:fill="FFF3CD"/>
      </w:pPr>
      <w:r>
        <w:rPr>
          <w:color w:val="222222"/>
          <w:sz w:val="20"/>
        </w:rPr>
        <w:t xml:space="preserve">  5.  Take a full screenshot of the entire dashboard page.</w:t>
      </w:r>
    </w:p>
    <w:p>
      <w:pPr>
        <w:spacing w:before="0" w:after="20"/>
        <w:ind w:left="432"/>
        <w:shd w:val="clear" w:color="auto" w:fill="FFF3CD"/>
      </w:pPr>
      <w:r>
        <w:rPr>
          <w:color w:val="222222"/>
          <w:sz w:val="20"/>
        </w:rPr>
        <w:t xml:space="preserve">  6.  Paste the screenshot here.</w:t>
      </w:r>
    </w:p>
    <w:p>
      <w:pPr>
        <w:spacing w:after="80"/>
      </w:pPr>
    </w:p>
    <w:p>
      <w:pPr>
        <w:spacing w:before="280" w:after="0"/>
        <w:shd w:val="clear" w:color="auto" w:fill="1F497D"/>
      </w:pPr>
      <w:r>
        <w:rPr>
          <w:b/>
          <w:color w:val="FFFFFF"/>
          <w:sz w:val="21"/>
        </w:rPr>
        <w:t xml:space="preserve">  SCREENSHOT  ·  Power BI — Fraud by Hour (Night-Time Spike Visual)</w:t>
      </w:r>
    </w:p>
    <w:p>
      <w:pPr>
        <w:spacing w:before="0" w:after="0"/>
        <w:jc w:val="center"/>
        <w:shd w:val="clear" w:color="auto" w:fill="E8F0FB"/>
      </w:pPr>
      <w:r>
        <w:rPr>
          <w:i/>
          <w:color w:val="555555"/>
          <w:sz w:val="22"/>
        </w:rPr>
        <w:br/>
        <w:br/>
        <w:br/>
        <w:t>[ INSERT SCREENSHOT HERE  —  resize to fit, keep aspect ratio ]</w:t>
        <w:br/>
        <w:br/>
        <w:br/>
      </w:r>
    </w:p>
    <w:p>
      <w:pPr>
        <w:spacing w:before="0" w:after="0"/>
        <w:shd w:val="clear" w:color="auto" w:fill="FFF3CD"/>
      </w:pPr>
      <w:r>
        <w:rPr>
          <w:b/>
          <w:color w:val="854500"/>
          <w:sz w:val="20"/>
        </w:rPr>
        <w:t xml:space="preserve">  HOW TO CAPTURE THIS SCREENSHOT — follow these steps:</w:t>
      </w:r>
    </w:p>
    <w:p>
      <w:pPr>
        <w:spacing w:before="0" w:after="20"/>
        <w:ind w:left="432"/>
        <w:shd w:val="clear" w:color="auto" w:fill="FFF3CD"/>
      </w:pPr>
      <w:r>
        <w:rPr>
          <w:color w:val="222222"/>
          <w:sz w:val="20"/>
        </w:rPr>
        <w:t xml:space="preserve">  1.  In Power BI Desktop with Dashboard.pbix open, click on the "Fraud by Hour" line chart to select it.</w:t>
      </w:r>
    </w:p>
    <w:p>
      <w:pPr>
        <w:spacing w:before="0" w:after="20"/>
        <w:ind w:left="432"/>
        <w:shd w:val="clear" w:color="auto" w:fill="FFF3CD"/>
      </w:pPr>
      <w:r>
        <w:rPr>
          <w:color w:val="222222"/>
          <w:sz w:val="20"/>
        </w:rPr>
        <w:t xml:space="preserve">  2.  The chart should clearly show the spike at hours 22 and 23 with values around 2.5–2.6%.</w:t>
      </w:r>
    </w:p>
    <w:p>
      <w:pPr>
        <w:spacing w:before="0" w:after="20"/>
        <w:ind w:left="432"/>
        <w:shd w:val="clear" w:color="auto" w:fill="FFF3CD"/>
      </w:pPr>
      <w:r>
        <w:rPr>
          <w:color w:val="222222"/>
          <w:sz w:val="20"/>
        </w:rPr>
        <w:t xml:space="preserve">  3.  Take a zoomed-in screenshot of just this visual so the spike is clearly visible.</w:t>
      </w:r>
    </w:p>
    <w:p>
      <w:pPr>
        <w:spacing w:before="0" w:after="20"/>
        <w:ind w:left="432"/>
        <w:shd w:val="clear" w:color="auto" w:fill="FFF3CD"/>
      </w:pPr>
      <w:r>
        <w:rPr>
          <w:color w:val="222222"/>
          <w:sz w:val="20"/>
        </w:rPr>
        <w:t xml:space="preserve">  4.  Paste the screenshot here.</w:t>
      </w:r>
    </w:p>
    <w:p>
      <w:pPr>
        <w:spacing w:after="80"/>
      </w:pPr>
    </w:p>
    <w:p>
      <w:pPr>
        <w:spacing w:before="280" w:after="0"/>
        <w:shd w:val="clear" w:color="auto" w:fill="1F497D"/>
      </w:pPr>
      <w:r>
        <w:rPr>
          <w:b/>
          <w:color w:val="FFFFFF"/>
          <w:sz w:val="21"/>
        </w:rPr>
        <w:t xml:space="preserve">  SCREENSHOT  ·  Power BI — Model Threshold Comparison Table</w:t>
      </w:r>
    </w:p>
    <w:p>
      <w:pPr>
        <w:spacing w:before="0" w:after="0"/>
        <w:jc w:val="center"/>
        <w:shd w:val="clear" w:color="auto" w:fill="E8F0FB"/>
      </w:pPr>
      <w:r>
        <w:rPr>
          <w:i/>
          <w:color w:val="555555"/>
          <w:sz w:val="22"/>
        </w:rPr>
        <w:br/>
        <w:br/>
        <w:br/>
        <w:t>[ INSERT SCREENSHOT HERE  —  resize to fit, keep aspect ratio ]</w:t>
        <w:br/>
        <w:br/>
        <w:br/>
      </w:r>
    </w:p>
    <w:p>
      <w:pPr>
        <w:spacing w:before="0" w:after="0"/>
        <w:shd w:val="clear" w:color="auto" w:fill="FFF3CD"/>
      </w:pPr>
      <w:r>
        <w:rPr>
          <w:b/>
          <w:color w:val="854500"/>
          <w:sz w:val="20"/>
        </w:rPr>
        <w:t xml:space="preserve">  HOW TO CAPTURE THIS SCREENSHOT — follow these steps:</w:t>
      </w:r>
    </w:p>
    <w:p>
      <w:pPr>
        <w:spacing w:before="0" w:after="20"/>
        <w:ind w:left="432"/>
        <w:shd w:val="clear" w:color="auto" w:fill="FFF3CD"/>
      </w:pPr>
      <w:r>
        <w:rPr>
          <w:color w:val="222222"/>
          <w:sz w:val="20"/>
        </w:rPr>
        <w:t xml:space="preserve">  1.  In Power BI Desktop, navigate to the page or visual showing model threshold comparison.</w:t>
      </w:r>
    </w:p>
    <w:p>
      <w:pPr>
        <w:spacing w:before="0" w:after="20"/>
        <w:ind w:left="432"/>
        <w:shd w:val="clear" w:color="auto" w:fill="FFF3CD"/>
      </w:pPr>
      <w:r>
        <w:rPr>
          <w:color w:val="222222"/>
          <w:sz w:val="20"/>
        </w:rPr>
        <w:t xml:space="preserve">  2.  The visual should show recall, precision, and total cost at thresholds 0.40, 0.50, 0.60, 0.70.</w:t>
      </w:r>
    </w:p>
    <w:p>
      <w:pPr>
        <w:spacing w:before="0" w:after="20"/>
        <w:ind w:left="432"/>
        <w:shd w:val="clear" w:color="auto" w:fill="FFF3CD"/>
      </w:pPr>
      <w:r>
        <w:rPr>
          <w:color w:val="222222"/>
          <w:sz w:val="20"/>
        </w:rPr>
        <w:t xml:space="preserve">  3.  The row for threshold 0.60 should show the lowest total cost.</w:t>
      </w:r>
    </w:p>
    <w:p>
      <w:pPr>
        <w:spacing w:before="0" w:after="20"/>
        <w:ind w:left="432"/>
        <w:shd w:val="clear" w:color="auto" w:fill="FFF3CD"/>
      </w:pPr>
      <w:r>
        <w:rPr>
          <w:color w:val="222222"/>
          <w:sz w:val="20"/>
        </w:rPr>
        <w:t xml:space="preserve">  4.  Take a screenshot of this visual.</w:t>
      </w:r>
    </w:p>
    <w:p>
      <w:pPr>
        <w:spacing w:before="0" w:after="20"/>
        <w:ind w:left="432"/>
        <w:shd w:val="clear" w:color="auto" w:fill="FFF3CD"/>
      </w:pPr>
      <w:r>
        <w:rPr>
          <w:color w:val="222222"/>
          <w:sz w:val="20"/>
        </w:rPr>
        <w:t xml:space="preserve">  5.  Paste the screenshot here.</w:t>
      </w:r>
    </w:p>
    <w:p>
      <w:pPr>
        <w:spacing w:after="80"/>
      </w:pPr>
    </w:p>
    <w:p>
      <w:pPr>
        <w:spacing w:before="320" w:after="80"/>
      </w:pPr>
      <w:r>
        <w:rPr>
          <w:b/>
          <w:color w:val="1F497D"/>
          <w:sz w:val="28"/>
        </w:rPr>
        <w:t>Week 6  —  Executive Memo &amp; Architecture</w:t>
      </w:r>
    </w:p>
    <w:p>
      <w:pPr>
        <w:spacing w:before="40" w:after="160"/>
        <w:pBdr>
          <w:bottom w:val="single" w:sz="4" w:space="1" w:color="1F497D"/>
        </w:pBdr>
      </w:pPr>
    </w:p>
    <w:p>
      <w:pPr>
        <w:spacing w:before="200" w:after="40"/>
      </w:pPr>
      <w:r>
        <w:rPr>
          <w:b/>
          <w:color w:val="1F497D"/>
          <w:sz w:val="24"/>
        </w:rPr>
        <w:t>Executive Memo (docs/executive_memo.md)</w:t>
      </w:r>
    </w:p>
    <w:p>
      <w:pPr>
        <w:spacing w:before="0" w:after="100"/>
      </w:pPr>
      <w:r>
        <w:rPr>
          <w:color w:val="222222"/>
          <w:sz w:val="22"/>
        </w:rPr>
        <w:t>The memo summarises the project for a non-technical audience — a CFO or Chief Risk Officer who needs findings and recommendations, not code. It is structured as:</w:t>
      </w:r>
    </w:p>
    <w:p>
      <w:pPr>
        <w:pStyle w:val="ListBullet"/>
        <w:spacing w:before="0" w:after="40"/>
        <w:ind w:left="360"/>
      </w:pPr>
      <w:r>
        <w:rPr>
          <w:color w:val="222222"/>
          <w:sz w:val="22"/>
        </w:rPr>
        <w:t>Executive Summary — 3 bullet findings (fraud rate, top category, night-time spike)</w:t>
      </w:r>
    </w:p>
    <w:p>
      <w:pPr>
        <w:pStyle w:val="ListBullet"/>
        <w:spacing w:before="0" w:after="40"/>
        <w:ind w:left="360"/>
      </w:pPr>
      <w:r>
        <w:rPr>
          <w:color w:val="222222"/>
          <w:sz w:val="22"/>
        </w:rPr>
        <w:t>Model Performance — AUC, recall, cost savings in plain language</w:t>
      </w:r>
    </w:p>
    <w:p>
      <w:pPr>
        <w:pStyle w:val="ListBullet"/>
        <w:spacing w:before="0" w:after="40"/>
        <w:ind w:left="360"/>
      </w:pPr>
      <w:r>
        <w:rPr>
          <w:color w:val="222222"/>
          <w:sz w:val="22"/>
        </w:rPr>
        <w:t>Risk Hotspots — shopping_net, 22:00–23:59, top merchants</w:t>
      </w:r>
    </w:p>
    <w:p>
      <w:pPr>
        <w:pStyle w:val="ListBullet"/>
        <w:spacing w:before="0" w:after="40"/>
        <w:ind w:left="360"/>
      </w:pPr>
      <w:r>
        <w:rPr>
          <w:color w:val="222222"/>
          <w:sz w:val="22"/>
        </w:rPr>
        <w:t>Recommendations — 3 actionable items (enhanced night monitoring, shopping_net velocity rules, dormant cardholder review)</w:t>
      </w:r>
    </w:p>
    <w:p>
      <w:pPr>
        <w:pStyle w:val="ListBullet"/>
        <w:spacing w:before="0" w:after="40"/>
        <w:ind w:left="360"/>
      </w:pPr>
      <w:r>
        <w:rPr>
          <w:color w:val="222222"/>
          <w:sz w:val="22"/>
        </w:rPr>
        <w:t>Limitations — synthetic data caveat, 24-month forecast horizon, no real-time scoring (at this stage)</w:t>
      </w:r>
    </w:p>
    <w:p>
      <w:pPr>
        <w:spacing w:before="200" w:after="40"/>
      </w:pPr>
      <w:r>
        <w:rPr>
          <w:b/>
          <w:color w:val="1F497D"/>
          <w:sz w:val="24"/>
        </w:rPr>
        <w:t>Technical Architecture Document</w:t>
      </w:r>
    </w:p>
    <w:p>
      <w:pPr>
        <w:spacing w:before="0" w:after="100"/>
      </w:pPr>
      <w:r>
        <w:rPr>
          <w:color w:val="222222"/>
          <w:sz w:val="22"/>
        </w:rPr>
        <w:t>The architecture document (docs/Fraud Analytics — Technical Architecture.pdf) covers the full pipeline from source CSV to Power BI, including all control checkpoints, the medallion layers, and the model serving design. It is the document you would hand to a new data engineer joining the project.</w:t>
      </w:r>
    </w:p>
    <w:p>
      <w:pPr>
        <w:spacing w:before="280" w:after="0"/>
        <w:shd w:val="clear" w:color="auto" w:fill="1F497D"/>
      </w:pPr>
      <w:r>
        <w:rPr>
          <w:b/>
          <w:color w:val="FFFFFF"/>
          <w:sz w:val="21"/>
        </w:rPr>
        <w:t xml:space="preserve">  SCREENSHOT  ·  Architecture Diagram — Full Pipeline Flow</w:t>
      </w:r>
    </w:p>
    <w:p>
      <w:pPr>
        <w:spacing w:before="0" w:after="0"/>
        <w:jc w:val="center"/>
        <w:shd w:val="clear" w:color="auto" w:fill="E8F0FB"/>
      </w:pPr>
      <w:r>
        <w:rPr>
          <w:i/>
          <w:color w:val="555555"/>
          <w:sz w:val="22"/>
        </w:rPr>
        <w:br/>
        <w:br/>
        <w:br/>
        <w:t>[ INSERT SCREENSHOT HERE  —  resize to fit, keep aspect ratio ]</w:t>
        <w:br/>
        <w:br/>
        <w:br/>
      </w:r>
    </w:p>
    <w:p>
      <w:pPr>
        <w:spacing w:before="0" w:after="0"/>
        <w:shd w:val="clear" w:color="auto" w:fill="FFF3CD"/>
      </w:pPr>
      <w:r>
        <w:rPr>
          <w:b/>
          <w:color w:val="854500"/>
          <w:sz w:val="20"/>
        </w:rPr>
        <w:t xml:space="preserve">  HOW TO CAPTURE THIS SCREENSHOT — follow these steps:</w:t>
      </w:r>
    </w:p>
    <w:p>
      <w:pPr>
        <w:spacing w:before="0" w:after="20"/>
        <w:ind w:left="432"/>
        <w:shd w:val="clear" w:color="auto" w:fill="FFF3CD"/>
      </w:pPr>
      <w:r>
        <w:rPr>
          <w:color w:val="222222"/>
          <w:sz w:val="20"/>
        </w:rPr>
        <w:t xml:space="preserve">  1.  Open the file: docs/Fraud Analytics — Technical Architecture.pdf from your project folder.</w:t>
      </w:r>
    </w:p>
    <w:p>
      <w:pPr>
        <w:spacing w:before="0" w:after="20"/>
        <w:ind w:left="432"/>
        <w:shd w:val="clear" w:color="auto" w:fill="FFF3CD"/>
      </w:pPr>
      <w:r>
        <w:rPr>
          <w:color w:val="222222"/>
          <w:sz w:val="20"/>
        </w:rPr>
        <w:t xml:space="preserve">  2.  Navigate to the page showing the full pipeline flow diagram (source → bronze → silver → gold → analytics).</w:t>
      </w:r>
    </w:p>
    <w:p>
      <w:pPr>
        <w:spacing w:before="0" w:after="20"/>
        <w:ind w:left="432"/>
        <w:shd w:val="clear" w:color="auto" w:fill="FFF3CD"/>
      </w:pPr>
      <w:r>
        <w:rPr>
          <w:color w:val="222222"/>
          <w:sz w:val="20"/>
        </w:rPr>
        <w:t xml:space="preserve">  3.  Take a screenshot or use a PDF viewer's export function to capture the diagram at high resolution.</w:t>
      </w:r>
    </w:p>
    <w:p>
      <w:pPr>
        <w:spacing w:before="0" w:after="20"/>
        <w:ind w:left="432"/>
        <w:shd w:val="clear" w:color="auto" w:fill="FFF3CD"/>
      </w:pPr>
      <w:r>
        <w:rPr>
          <w:color w:val="222222"/>
          <w:sz w:val="20"/>
        </w:rPr>
        <w:t xml:space="preserve">  4.  Paste the screenshot here.</w:t>
      </w:r>
    </w:p>
    <w:p>
      <w:pPr>
        <w:spacing w:after="8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