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3283" w14:textId="77777777" w:rsidR="001A33A2" w:rsidRDefault="00000000">
      <w:pPr>
        <w:spacing w:after="40"/>
      </w:pPr>
      <w:r>
        <w:rPr>
          <w:i/>
          <w:color w:val="555555"/>
          <w:sz w:val="20"/>
        </w:rPr>
        <w:t xml:space="preserve">Week 3 – </w:t>
      </w:r>
      <w:proofErr w:type="gramStart"/>
      <w:r>
        <w:rPr>
          <w:i/>
          <w:color w:val="555555"/>
          <w:sz w:val="20"/>
        </w:rPr>
        <w:t>4  ·</w:t>
      </w:r>
      <w:proofErr w:type="gramEnd"/>
      <w:r>
        <w:rPr>
          <w:i/>
          <w:color w:val="555555"/>
          <w:sz w:val="20"/>
        </w:rPr>
        <w:t xml:space="preserve">  Fraud Loss Analytics Platform</w:t>
      </w:r>
    </w:p>
    <w:p w14:paraId="6DEDA43A" w14:textId="77777777" w:rsidR="001A33A2" w:rsidRDefault="00000000">
      <w:pPr>
        <w:spacing w:after="80"/>
      </w:pPr>
      <w:r>
        <w:rPr>
          <w:b/>
          <w:color w:val="1F497D"/>
          <w:sz w:val="44"/>
        </w:rPr>
        <w:t>Azure Orchestration &amp; Machine Learning</w:t>
      </w:r>
    </w:p>
    <w:p w14:paraId="50C240B4" w14:textId="77777777" w:rsidR="001A33A2" w:rsidRDefault="00000000">
      <w:pPr>
        <w:spacing w:after="0"/>
      </w:pPr>
      <w:r>
        <w:rPr>
          <w:i/>
          <w:color w:val="555555"/>
          <w:sz w:val="24"/>
        </w:rPr>
        <w:t>ADF pipeline design · K-Means clustering · GBT fraud model · Cost-based threshold · Holt-Winters forecast</w:t>
      </w:r>
    </w:p>
    <w:p w14:paraId="47390824" w14:textId="77777777" w:rsidR="001A33A2" w:rsidRDefault="001A33A2">
      <w:pPr>
        <w:pBdr>
          <w:bottom w:val="single" w:sz="10" w:space="1" w:color="1F497D"/>
        </w:pBdr>
        <w:spacing w:before="40" w:after="160"/>
      </w:pPr>
    </w:p>
    <w:p w14:paraId="71FA233E" w14:textId="77777777" w:rsidR="001A33A2" w:rsidRDefault="00000000">
      <w:pPr>
        <w:spacing w:before="320" w:after="80"/>
      </w:pPr>
      <w:r>
        <w:rPr>
          <w:b/>
          <w:color w:val="1F497D"/>
          <w:sz w:val="28"/>
        </w:rPr>
        <w:t>Overview</w:t>
      </w:r>
    </w:p>
    <w:p w14:paraId="2426FD62" w14:textId="77777777" w:rsidR="001A33A2" w:rsidRDefault="001A33A2">
      <w:pPr>
        <w:pBdr>
          <w:bottom w:val="single" w:sz="4" w:space="1" w:color="1F497D"/>
        </w:pBdr>
        <w:spacing w:before="40" w:after="160"/>
      </w:pPr>
    </w:p>
    <w:p w14:paraId="06D355D2" w14:textId="77777777" w:rsidR="001A33A2" w:rsidRDefault="00000000">
      <w:pPr>
        <w:spacing w:after="100"/>
      </w:pPr>
      <w:r>
        <w:rPr>
          <w:color w:val="222222"/>
        </w:rPr>
        <w:t>Week 3 adds orchestration (Azure Data Factory pipeline design) and the first analytical layer: fraud KPIs and K-Means merchant clustering. Week 4 trains the core GBT fraud model with a cost-based threshold optimisation — the most interview-critical technical decision in the entire project — and adds a Holt-Winters loss forecast.</w:t>
      </w:r>
    </w:p>
    <w:p w14:paraId="74901C1F" w14:textId="77777777" w:rsidR="001A33A2" w:rsidRDefault="00000000">
      <w:pPr>
        <w:spacing w:before="320" w:after="80"/>
      </w:pPr>
      <w:r>
        <w:rPr>
          <w:b/>
          <w:color w:val="1F497D"/>
          <w:sz w:val="28"/>
        </w:rPr>
        <w:t xml:space="preserve">Week </w:t>
      </w:r>
      <w:proofErr w:type="gramStart"/>
      <w:r>
        <w:rPr>
          <w:b/>
          <w:color w:val="1F497D"/>
          <w:sz w:val="28"/>
        </w:rPr>
        <w:t>3  —</w:t>
      </w:r>
      <w:proofErr w:type="gramEnd"/>
      <w:r>
        <w:rPr>
          <w:b/>
          <w:color w:val="1F497D"/>
          <w:sz w:val="28"/>
        </w:rPr>
        <w:t xml:space="preserve">  ADF Pipeline Design &amp; Analytics</w:t>
      </w:r>
    </w:p>
    <w:p w14:paraId="5793D25D" w14:textId="77777777" w:rsidR="001A33A2" w:rsidRDefault="001A33A2">
      <w:pPr>
        <w:pBdr>
          <w:bottom w:val="single" w:sz="4" w:space="1" w:color="1F497D"/>
        </w:pBdr>
        <w:spacing w:before="40" w:after="160"/>
      </w:pPr>
    </w:p>
    <w:p w14:paraId="5CFA126D" w14:textId="77777777" w:rsidR="001A33A2" w:rsidRDefault="00000000">
      <w:pPr>
        <w:spacing w:before="200" w:after="40"/>
      </w:pPr>
      <w:r>
        <w:rPr>
          <w:b/>
          <w:color w:val="1F497D"/>
          <w:sz w:val="24"/>
        </w:rPr>
        <w:t>Azure Data Factory Pipeline Design</w:t>
      </w:r>
    </w:p>
    <w:p w14:paraId="00A1B4DF" w14:textId="77777777" w:rsidR="001A33A2" w:rsidRDefault="00000000">
      <w:pPr>
        <w:spacing w:after="100"/>
      </w:pPr>
      <w:r>
        <w:rPr>
          <w:color w:val="222222"/>
        </w:rPr>
        <w:t xml:space="preserve">The ADF pipeline (adf/pipeline_fraud_ingest.json) was designed as a production-grade orchestration template. It was not </w:t>
      </w:r>
      <w:proofErr w:type="gramStart"/>
      <w:r>
        <w:rPr>
          <w:color w:val="222222"/>
        </w:rPr>
        <w:t>live-triggered</w:t>
      </w:r>
      <w:proofErr w:type="gramEnd"/>
      <w:r>
        <w:rPr>
          <w:color w:val="222222"/>
        </w:rPr>
        <w:t xml:space="preserve"> on Community Edition (CE does not support ADF linked services), but the design is fully deployable on a paid Azure Databricks workspace.</w:t>
      </w:r>
    </w:p>
    <w:p w14:paraId="56A4773F" w14:textId="77777777" w:rsidR="001A33A2" w:rsidRDefault="00000000">
      <w:pPr>
        <w:pStyle w:val="ListBullet"/>
        <w:spacing w:after="40"/>
      </w:pPr>
      <w:r>
        <w:rPr>
          <w:b/>
          <w:color w:val="222222"/>
        </w:rPr>
        <w:t xml:space="preserve">Activity 1: </w:t>
      </w:r>
      <w:r>
        <w:rPr>
          <w:color w:val="222222"/>
        </w:rPr>
        <w:t>act_validate_source_file — Validation activity waits up to 30 minutes for the file to arrive in Blob Storage. Pipeline fails fast if file is missing; downstream jobs never run on stale data.</w:t>
      </w:r>
    </w:p>
    <w:p w14:paraId="7E7F9A7B" w14:textId="77777777" w:rsidR="001A33A2" w:rsidRDefault="00000000">
      <w:pPr>
        <w:pStyle w:val="ListBullet"/>
        <w:spacing w:after="40"/>
      </w:pPr>
      <w:r>
        <w:rPr>
          <w:b/>
          <w:color w:val="222222"/>
        </w:rPr>
        <w:t xml:space="preserve">Activity 2: </w:t>
      </w:r>
      <w:r>
        <w:rPr>
          <w:color w:val="222222"/>
        </w:rPr>
        <w:t>act_copy_to_adls — Copy activity moves the validated CSV from Blob Storage to the ADLS Gen2 bronze zone. Source: AzureBlobStorage. Sink: AzureBlobFS (ADLS Gen2).</w:t>
      </w:r>
    </w:p>
    <w:p w14:paraId="005649E3" w14:textId="77777777" w:rsidR="001A33A2" w:rsidRDefault="00000000">
      <w:pPr>
        <w:pStyle w:val="ListBullet"/>
        <w:spacing w:after="40"/>
      </w:pPr>
      <w:r>
        <w:rPr>
          <w:b/>
          <w:color w:val="222222"/>
        </w:rPr>
        <w:t xml:space="preserve">Activity 3: </w:t>
      </w:r>
      <w:r>
        <w:rPr>
          <w:color w:val="222222"/>
        </w:rPr>
        <w:t>act_log_control_result — Writes a control record (run_id, rows_read, rows_copied, timestamp, status) to audit.etl_run_log in Azure SQL Database, mirroring the PostgreSQL audit pattern.</w:t>
      </w:r>
    </w:p>
    <w:p w14:paraId="095D3DD8" w14:textId="77777777" w:rsidR="001A33A2" w:rsidRDefault="00000000">
      <w:pPr>
        <w:pStyle w:val="ListBullet"/>
        <w:spacing w:after="40"/>
      </w:pPr>
      <w:r>
        <w:rPr>
          <w:b/>
          <w:color w:val="222222"/>
        </w:rPr>
        <w:t xml:space="preserve">Activity 4: </w:t>
      </w:r>
      <w:r>
        <w:rPr>
          <w:color w:val="222222"/>
        </w:rPr>
        <w:t>act_trigger_databricks_silver — DatabricksNotebook activity calls /Shared/fraud-analytics/02_silver, passing the ADLS path and run_id as parameters. Trigger: daily at 02:00 UTC.</w:t>
      </w:r>
    </w:p>
    <w:p w14:paraId="591A39AC" w14:textId="77777777" w:rsidR="001A33A2" w:rsidRDefault="00000000">
      <w:pPr>
        <w:shd w:val="clear" w:color="auto" w:fill="E8F0FB"/>
        <w:spacing w:before="120" w:after="120"/>
        <w:ind w:left="216"/>
      </w:pPr>
      <w:r>
        <w:rPr>
          <w:b/>
          <w:color w:val="1F497D"/>
          <w:sz w:val="21"/>
        </w:rPr>
        <w:t xml:space="preserve">  Interview answer for "Did ADF actually run?"</w:t>
      </w:r>
      <w:proofErr w:type="gramStart"/>
      <w:r>
        <w:rPr>
          <w:b/>
          <w:color w:val="1F497D"/>
          <w:sz w:val="21"/>
        </w:rPr>
        <w:t xml:space="preserve">:  </w:t>
      </w:r>
      <w:r>
        <w:rPr>
          <w:color w:val="222222"/>
          <w:sz w:val="21"/>
        </w:rPr>
        <w:t>The</w:t>
      </w:r>
      <w:proofErr w:type="gramEnd"/>
      <w:r>
        <w:rPr>
          <w:color w:val="222222"/>
          <w:sz w:val="21"/>
        </w:rPr>
        <w:t xml:space="preserve"> pipeline is a complete, deployable JSON template. On Community Edition ADF cannot link to Databricks, so I ran notebooks manually. On a paid workspace this pipeline would work without code changes — the linked service just needs a workspace URL and token.</w:t>
      </w:r>
    </w:p>
    <w:p w14:paraId="5E235829" w14:textId="77777777" w:rsidR="001A33A2" w:rsidRDefault="00000000">
      <w:pPr>
        <w:spacing w:before="200" w:after="40"/>
      </w:pPr>
      <w:r>
        <w:rPr>
          <w:b/>
          <w:color w:val="1F497D"/>
          <w:sz w:val="24"/>
        </w:rPr>
        <w:t>Fraud KPIs — 5 Core Metrics</w:t>
      </w:r>
    </w:p>
    <w:p w14:paraId="0CFA01E7" w14:textId="77777777" w:rsidR="001A33A2" w:rsidRDefault="00000000">
      <w:pPr>
        <w:spacing w:after="100"/>
      </w:pPr>
      <w:r>
        <w:rPr>
          <w:color w:val="222222"/>
        </w:rPr>
        <w:t>Computed in PySpark on the gold layer and surfaced in Power BI:</w:t>
      </w:r>
    </w:p>
    <w:p w14:paraId="6E27A8B2" w14:textId="77777777" w:rsidR="001A33A2" w:rsidRDefault="00000000">
      <w:pPr>
        <w:pStyle w:val="ListBullet"/>
        <w:spacing w:after="40"/>
      </w:pPr>
      <w:r>
        <w:rPr>
          <w:color w:val="222222"/>
        </w:rPr>
        <w:t>0.52% — Overall fraud rate (9,651 fraud transactions out of 1,852,394 total)</w:t>
      </w:r>
    </w:p>
    <w:p w14:paraId="027FB432" w14:textId="77777777" w:rsidR="001A33A2" w:rsidRDefault="00000000">
      <w:pPr>
        <w:pStyle w:val="ListBullet"/>
        <w:spacing w:after="40"/>
      </w:pPr>
      <w:r>
        <w:rPr>
          <w:color w:val="222222"/>
        </w:rPr>
        <w:t>$5.12M — Total fraud losses across both files</w:t>
      </w:r>
    </w:p>
    <w:p w14:paraId="78309BA2" w14:textId="77777777" w:rsidR="001A33A2" w:rsidRDefault="00000000">
      <w:pPr>
        <w:pStyle w:val="ListBullet"/>
        <w:spacing w:after="40"/>
      </w:pPr>
      <w:r>
        <w:rPr>
          <w:color w:val="222222"/>
        </w:rPr>
        <w:t>1.59% — Fraud rate for shopping_net (3× the portfolio average)</w:t>
      </w:r>
    </w:p>
    <w:p w14:paraId="7BCF7BE7" w14:textId="77777777" w:rsidR="001A33A2" w:rsidRDefault="00000000">
      <w:pPr>
        <w:pStyle w:val="ListBullet"/>
        <w:spacing w:after="40"/>
      </w:pPr>
      <w:r>
        <w:rPr>
          <w:color w:val="222222"/>
        </w:rPr>
        <w:t>2.5–2.6% — Fraud rate between 22:00–23:59 vs ~0.09% during business hours</w:t>
      </w:r>
    </w:p>
    <w:p w14:paraId="61D14CF8" w14:textId="77777777" w:rsidR="001A33A2" w:rsidRDefault="00000000">
      <w:pPr>
        <w:pStyle w:val="ListBullet"/>
        <w:spacing w:after="40"/>
      </w:pPr>
      <w:r>
        <w:rPr>
          <w:color w:val="222222"/>
        </w:rPr>
        <w:t>$530 — Average fraud transaction value ($5.12M ÷ 9,651), used as FN cost in the model</w:t>
      </w:r>
    </w:p>
    <w:p w14:paraId="3582B045" w14:textId="77777777" w:rsidR="001A33A2" w:rsidRDefault="00000000">
      <w:pPr>
        <w:spacing w:before="200" w:after="40"/>
      </w:pPr>
      <w:r>
        <w:rPr>
          <w:b/>
          <w:color w:val="1F497D"/>
          <w:sz w:val="24"/>
        </w:rPr>
        <w:t>K-Means Merchant Clustering</w:t>
      </w:r>
    </w:p>
    <w:p w14:paraId="71B1094D" w14:textId="77777777" w:rsidR="001A33A2" w:rsidRDefault="00000000">
      <w:pPr>
        <w:spacing w:after="100"/>
      </w:pPr>
      <w:r>
        <w:rPr>
          <w:color w:val="222222"/>
        </w:rPr>
        <w:t>K-Means (k=4) applied to merchant-level aggregates: fraud_rate, avg_amt, txn_count, city_pop. The elbow method on inertia confirmed k=4. Key finding: shopping_net and shopping_pos merchants cluster together in a high-fraud, high-value group — confirming the KPI finding with an unsupervised method.</w:t>
      </w:r>
    </w:p>
    <w:p w14:paraId="2FBEBEB1" w14:textId="77777777" w:rsidR="001A33A2" w:rsidRDefault="00000000">
      <w:pPr>
        <w:shd w:val="clear" w:color="auto" w:fill="F3F3F3"/>
        <w:spacing w:before="80" w:after="80"/>
        <w:ind w:left="360"/>
      </w:pPr>
      <w:r>
        <w:rPr>
          <w:rFonts w:ascii="Courier New" w:hAnsi="Courier New"/>
          <w:color w:val="1E1E1E"/>
          <w:sz w:val="19"/>
        </w:rPr>
        <w:lastRenderedPageBreak/>
        <w:t xml:space="preserve">from </w:t>
      </w:r>
      <w:proofErr w:type="gramStart"/>
      <w:r>
        <w:rPr>
          <w:rFonts w:ascii="Courier New" w:hAnsi="Courier New"/>
          <w:color w:val="1E1E1E"/>
          <w:sz w:val="19"/>
        </w:rPr>
        <w:t>pyspark.ml.clustering</w:t>
      </w:r>
      <w:proofErr w:type="gramEnd"/>
      <w:r>
        <w:rPr>
          <w:rFonts w:ascii="Courier New" w:hAnsi="Courier New"/>
          <w:color w:val="1E1E1E"/>
          <w:sz w:val="19"/>
        </w:rPr>
        <w:t xml:space="preserve"> import KMeans</w:t>
      </w:r>
      <w:r>
        <w:rPr>
          <w:rFonts w:ascii="Courier New" w:hAnsi="Courier New"/>
          <w:color w:val="1E1E1E"/>
          <w:sz w:val="19"/>
        </w:rPr>
        <w:br/>
        <w:t xml:space="preserve">kmeans = </w:t>
      </w:r>
      <w:proofErr w:type="gramStart"/>
      <w:r>
        <w:rPr>
          <w:rFonts w:ascii="Courier New" w:hAnsi="Courier New"/>
          <w:color w:val="1E1E1E"/>
          <w:sz w:val="19"/>
        </w:rPr>
        <w:t>KMeans(</w:t>
      </w:r>
      <w:proofErr w:type="gramEnd"/>
      <w:r>
        <w:rPr>
          <w:rFonts w:ascii="Courier New" w:hAnsi="Courier New"/>
          <w:color w:val="1E1E1E"/>
          <w:sz w:val="19"/>
        </w:rPr>
        <w:t>k=4, seed=42, featuresCol="features")</w:t>
      </w:r>
    </w:p>
    <w:p w14:paraId="60AC5021" w14:textId="07B9DCF8" w:rsidR="001A33A2" w:rsidRDefault="00000000" w:rsidP="00A37305">
      <w:pPr>
        <w:shd w:val="clear" w:color="auto" w:fill="1F497D"/>
        <w:spacing w:before="280" w:after="0"/>
      </w:pPr>
      <w:r>
        <w:rPr>
          <w:b/>
          <w:color w:val="FFFFFF"/>
          <w:sz w:val="21"/>
        </w:rPr>
        <w:t xml:space="preserve">  </w:t>
      </w:r>
      <w:proofErr w:type="gramStart"/>
      <w:r>
        <w:rPr>
          <w:b/>
          <w:color w:val="FFFFFF"/>
          <w:sz w:val="21"/>
        </w:rPr>
        <w:t>SCREENSHOT  ·</w:t>
      </w:r>
      <w:proofErr w:type="gramEnd"/>
      <w:r>
        <w:rPr>
          <w:b/>
          <w:color w:val="FFFFFF"/>
          <w:sz w:val="21"/>
        </w:rPr>
        <w:t xml:space="preserve">  Databricks — K-Means Cluster Plot (Fraud Rate vs Avg Amount)</w:t>
      </w:r>
      <w:r>
        <w:rPr>
          <w:i/>
          <w:color w:val="555555"/>
        </w:rPr>
        <w:br/>
      </w:r>
      <w:r w:rsidR="00906A89" w:rsidRPr="00906A89">
        <w:drawing>
          <wp:inline distT="0" distB="0" distL="0" distR="0" wp14:anchorId="005ED6D6" wp14:editId="27E3769E">
            <wp:extent cx="6858000" cy="3792220"/>
            <wp:effectExtent l="0" t="0" r="0" b="0"/>
            <wp:docPr id="27430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05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shd w:val="clear" w:color="auto" w:fill="E8F4FD"/>
        <w:ind w:left="360" w:right="360"/>
      </w:pPr>
      <w:r>
        <w:rPr>
          <w:i/>
          <w:sz w:val="18"/>
          <w:color w:val="1F497D"/>
        </w:rPr>
        <w:t xml:space="preserve">What this shows: K-Means clustering of 693 merchants into 4 groups based on fraud behaviour. X-axis: average fraud transaction amount. Y-axis: fraud rate (%). Bubble size: number of merchants in the cluster. Merchants in the top-left (high fraud rate, lower ticket) represent high-volume online fraud. Merchants in the top-right (high rate, high ticket) represent high-value fraud. The clusters drive targeted intervention — a bank's fraud team applies different controls to each cluster. Final outcome: 4 merchant risk tiers, each with a distinct fraud profile and recommended control posture.</w:t>
      </w:r>
    </w:p>
    <w:p w14:paraId="32014A6B" w14:textId="77777777" w:rsidR="001A33A2" w:rsidRDefault="00000000">
      <w:pPr>
        <w:spacing w:before="320" w:after="80"/>
      </w:pPr>
      <w:r>
        <w:rPr>
          <w:b/>
          <w:color w:val="1F497D"/>
          <w:sz w:val="28"/>
        </w:rPr>
        <w:t xml:space="preserve">Week </w:t>
      </w:r>
      <w:proofErr w:type="gramStart"/>
      <w:r>
        <w:rPr>
          <w:b/>
          <w:color w:val="1F497D"/>
          <w:sz w:val="28"/>
        </w:rPr>
        <w:t>4  —</w:t>
      </w:r>
      <w:proofErr w:type="gramEnd"/>
      <w:r>
        <w:rPr>
          <w:b/>
          <w:color w:val="1F497D"/>
          <w:sz w:val="28"/>
        </w:rPr>
        <w:t xml:space="preserve">  GBT Fraud Model &amp; Forecast</w:t>
      </w:r>
    </w:p>
    <w:p w14:paraId="7690C30F" w14:textId="77777777" w:rsidR="001A33A2" w:rsidRDefault="001A33A2">
      <w:pPr>
        <w:pBdr>
          <w:bottom w:val="single" w:sz="4" w:space="1" w:color="1F497D"/>
        </w:pBdr>
        <w:spacing w:before="40" w:after="160"/>
      </w:pPr>
    </w:p>
    <w:p w14:paraId="2A980EA3" w14:textId="77777777" w:rsidR="001A33A2" w:rsidRDefault="00000000">
      <w:pPr>
        <w:spacing w:before="200" w:after="40"/>
      </w:pPr>
      <w:r>
        <w:rPr>
          <w:b/>
          <w:color w:val="1F497D"/>
          <w:sz w:val="24"/>
        </w:rPr>
        <w:t>GBT Classifier — Features &amp; Hyperparameters</w:t>
      </w:r>
    </w:p>
    <w:p w14:paraId="2676442E" w14:textId="77777777" w:rsidR="001A33A2" w:rsidRDefault="00000000">
      <w:pPr>
        <w:spacing w:after="100"/>
      </w:pPr>
      <w:r>
        <w:rPr>
          <w:color w:val="222222"/>
        </w:rPr>
        <w:t>A PySpark GradientBoostedTrees classifier (GBTClassifier) is trained on the silver layer. The model predicts the probability that a transaction is fraudulent.</w:t>
      </w:r>
    </w:p>
    <w:p w14:paraId="22225EB2" w14:textId="77777777" w:rsidR="001A33A2" w:rsidRDefault="00000000">
      <w:pPr>
        <w:pStyle w:val="ListBullet"/>
        <w:spacing w:after="40"/>
      </w:pPr>
      <w:r>
        <w:rPr>
          <w:b/>
          <w:color w:val="222222"/>
        </w:rPr>
        <w:t xml:space="preserve">Features (8): </w:t>
      </w:r>
      <w:r>
        <w:rPr>
          <w:color w:val="222222"/>
        </w:rPr>
        <w:t>amt, hour, day_of_week, month, geo_dist, city_pop, category (one-hot), merchant_cluster</w:t>
      </w:r>
    </w:p>
    <w:p w14:paraId="1B979F2B" w14:textId="77777777" w:rsidR="001A33A2" w:rsidRDefault="00000000">
      <w:pPr>
        <w:pStyle w:val="ListBullet"/>
        <w:spacing w:after="40"/>
      </w:pPr>
      <w:r>
        <w:rPr>
          <w:b/>
          <w:color w:val="222222"/>
        </w:rPr>
        <w:t xml:space="preserve">Hyperparameters: </w:t>
      </w:r>
      <w:r>
        <w:rPr>
          <w:color w:val="222222"/>
        </w:rPr>
        <w:t>maxIter=100, maxDepth=5, stepSize=0.1, subsamplingRate=0.8</w:t>
      </w:r>
    </w:p>
    <w:p w14:paraId="22C1F98F" w14:textId="77777777" w:rsidR="001A33A2" w:rsidRDefault="00000000">
      <w:pPr>
        <w:pStyle w:val="ListBullet"/>
        <w:spacing w:after="40"/>
      </w:pPr>
      <w:r>
        <w:rPr>
          <w:b/>
          <w:color w:val="222222"/>
        </w:rPr>
        <w:t xml:space="preserve">Split: </w:t>
      </w:r>
      <w:r>
        <w:rPr>
          <w:color w:val="222222"/>
        </w:rPr>
        <w:t>Train/test split: 80% / 20%, stratified by is_fraud</w:t>
      </w:r>
    </w:p>
    <w:p w14:paraId="068F9AA0" w14:textId="77777777" w:rsidR="001A33A2" w:rsidRDefault="00000000">
      <w:pPr>
        <w:pStyle w:val="ListBullet"/>
        <w:spacing w:after="40"/>
      </w:pPr>
      <w:r>
        <w:rPr>
          <w:b/>
          <w:color w:val="222222"/>
        </w:rPr>
        <w:t xml:space="preserve">Result: </w:t>
      </w:r>
      <w:r>
        <w:rPr>
          <w:color w:val="222222"/>
        </w:rPr>
        <w:t>AUC-ROC: 0.9952 on the test set (synthetic Sparkov data)</w:t>
      </w:r>
    </w:p>
    <w:p w14:paraId="4E2B9E07" w14:textId="77777777" w:rsidR="001A33A2" w:rsidRDefault="00000000">
      <w:pPr>
        <w:spacing w:before="200" w:after="40"/>
      </w:pPr>
      <w:r>
        <w:rPr>
          <w:b/>
          <w:color w:val="1F497D"/>
          <w:sz w:val="24"/>
        </w:rPr>
        <w:t>Cost-Based Threshold Optimisation — The Key Decision</w:t>
      </w:r>
    </w:p>
    <w:p w14:paraId="7A5A4B54" w14:textId="77777777" w:rsidR="001A33A2" w:rsidRDefault="00000000">
      <w:pPr>
        <w:spacing w:after="100"/>
      </w:pPr>
      <w:r>
        <w:rPr>
          <w:color w:val="222222"/>
        </w:rPr>
        <w:t>Default model threshold (0.50) maximises accuracy but ignores the asymmetric cost of errors in fraud detection. A missed fraud (FN) costs the bank approximately $530 (the average fraud transaction value). A false decline (FP) costs approximately $25 (review labour + customer friction). The optimal threshold minimises total expected cost:</w:t>
      </w:r>
    </w:p>
    <w:p w14:paraId="7508DF15" w14:textId="77777777" w:rsidR="001A33A2" w:rsidRDefault="00000000">
      <w:pPr>
        <w:shd w:val="clear" w:color="auto" w:fill="F3F3F3"/>
        <w:spacing w:before="80" w:after="80"/>
        <w:ind w:left="360"/>
      </w:pPr>
      <w:r>
        <w:rPr>
          <w:rFonts w:ascii="Courier New" w:hAnsi="Courier New"/>
          <w:color w:val="1E1E1E"/>
          <w:sz w:val="19"/>
        </w:rPr>
        <w:t>total_cost = FN_count × $530 + FP_count × $25</w:t>
      </w:r>
    </w:p>
    <w:p w14:paraId="70631559" w14:textId="77777777" w:rsidR="001A33A2" w:rsidRDefault="00000000">
      <w:pPr>
        <w:spacing w:after="100"/>
      </w:pPr>
      <w:r>
        <w:rPr>
          <w:color w:val="222222"/>
        </w:rPr>
        <w:t>Sweeping thresholds from 0.30 to 0.95 and computing total cost at each point, threshold 0.60 produces the lowest total cost — saving $23,000 compared to the default 0.50 threshold on the test set. At threshold 0.60: recall 92.3%.</w:t>
      </w:r>
    </w:p>
    <w:p w14:paraId="2436E6C1" w14:textId="77777777" w:rsidR="001A33A2" w:rsidRDefault="00000000">
      <w:pPr>
        <w:shd w:val="clear" w:color="auto" w:fill="FFF3CD"/>
        <w:spacing w:before="120" w:after="120"/>
        <w:ind w:left="216"/>
      </w:pPr>
      <w:r>
        <w:rPr>
          <w:b/>
          <w:color w:val="854500"/>
          <w:sz w:val="21"/>
        </w:rPr>
        <w:t xml:space="preserve">  Why $530 and $25?  </w:t>
      </w:r>
      <w:r>
        <w:rPr>
          <w:color w:val="854500"/>
          <w:sz w:val="21"/>
        </w:rPr>
        <w:t>$530 = $5,121,220 ÷ 9,651 fraud transactions (the actual average from this dataset). $25 is an assumed review cost — state this as an assumption in interviews. The interviewer will ask; have the breakdown ready.</w:t>
      </w:r>
    </w:p>
    <w:p w14:paraId="693F317C" w14:textId="77777777" w:rsidR="001A33A2" w:rsidRDefault="00000000">
      <w:pPr>
        <w:spacing w:before="200" w:after="40"/>
      </w:pPr>
      <w:r>
        <w:rPr>
          <w:b/>
          <w:color w:val="1F497D"/>
          <w:sz w:val="24"/>
        </w:rPr>
        <w:lastRenderedPageBreak/>
        <w:t>Holt-Winters Loss Forecast</w:t>
      </w:r>
    </w:p>
    <w:p w14:paraId="385A44CE" w14:textId="77777777" w:rsidR="001A33A2" w:rsidRDefault="00000000">
      <w:pPr>
        <w:spacing w:after="100"/>
      </w:pPr>
      <w:r>
        <w:rPr>
          <w:color w:val="222222"/>
        </w:rPr>
        <w:t>Monthly fraud losses are modelled using Holt-Winters (triple exponential smoothing) and SARIMA. Holt-Winters outperforms SARIMA on this 24-month series (MAPE 36.9% vs 91.4%). SARIMA underperforms because 24 months provides only two seasonal cycles — insufficient for SARIMA to estimate seasonal parameters reliably.</w:t>
      </w:r>
    </w:p>
    <w:p w14:paraId="7A0E55BE" w14:textId="77777777" w:rsidR="001A33A2" w:rsidRDefault="00000000">
      <w:pPr>
        <w:shd w:val="clear" w:color="auto" w:fill="FFF3CD"/>
        <w:spacing w:before="120" w:after="120"/>
        <w:ind w:left="216"/>
        <w:rPr>
          <w:color w:val="854500"/>
          <w:sz w:val="21"/>
        </w:rPr>
      </w:pPr>
      <w:r>
        <w:rPr>
          <w:b/>
          <w:color w:val="854500"/>
          <w:sz w:val="21"/>
        </w:rPr>
        <w:t xml:space="preserve">  Note on MAPE 36.9%</w:t>
      </w:r>
      <w:proofErr w:type="gramStart"/>
      <w:r>
        <w:rPr>
          <w:b/>
          <w:color w:val="854500"/>
          <w:sz w:val="21"/>
        </w:rPr>
        <w:t xml:space="preserve">:  </w:t>
      </w:r>
      <w:r>
        <w:rPr>
          <w:color w:val="854500"/>
          <w:sz w:val="21"/>
        </w:rPr>
        <w:t>This</w:t>
      </w:r>
      <w:proofErr w:type="gramEnd"/>
      <w:r>
        <w:rPr>
          <w:color w:val="854500"/>
          <w:sz w:val="21"/>
        </w:rPr>
        <w:t xml:space="preserve"> is not a strong forecast result — fraud losses are highly irregular. The value of the exercise is </w:t>
      </w:r>
      <w:proofErr w:type="gramStart"/>
      <w:r>
        <w:rPr>
          <w:color w:val="854500"/>
          <w:sz w:val="21"/>
        </w:rPr>
        <w:t>the methodology</w:t>
      </w:r>
      <w:proofErr w:type="gramEnd"/>
      <w:r>
        <w:rPr>
          <w:color w:val="854500"/>
          <w:sz w:val="21"/>
        </w:rPr>
        <w:t xml:space="preserve"> comparison, not </w:t>
      </w:r>
      <w:proofErr w:type="gramStart"/>
      <w:r>
        <w:rPr>
          <w:color w:val="854500"/>
          <w:sz w:val="21"/>
        </w:rPr>
        <w:t>the accuracy</w:t>
      </w:r>
      <w:proofErr w:type="gramEnd"/>
      <w:r>
        <w:rPr>
          <w:color w:val="854500"/>
          <w:sz w:val="21"/>
        </w:rPr>
        <w:t>. Frame it as "Holt-Winters was the better choice for this series length" in interviews.</w:t>
      </w:r>
    </w:p>
    <w:p w14:paraId="1CA49661" w14:textId="77777777" w:rsidR="00A37305" w:rsidRDefault="00A37305">
      <w:pPr>
        <w:shd w:val="clear" w:color="auto" w:fill="FFF3CD"/>
        <w:spacing w:before="120" w:after="120"/>
        <w:ind w:left="216"/>
      </w:pPr>
    </w:p>
    <w:p w14:paraId="12FC6219" w14:textId="77777777" w:rsidR="001A33A2" w:rsidRDefault="00000000">
      <w:pPr>
        <w:shd w:val="clear" w:color="auto" w:fill="1F497D"/>
        <w:spacing w:before="280" w:after="0"/>
      </w:pPr>
      <w:r>
        <w:rPr>
          <w:b/>
          <w:color w:val="FFFFFF"/>
          <w:sz w:val="21"/>
        </w:rPr>
        <w:t xml:space="preserve">  </w:t>
      </w:r>
      <w:proofErr w:type="gramStart"/>
      <w:r>
        <w:rPr>
          <w:b/>
          <w:color w:val="FFFFFF"/>
          <w:sz w:val="21"/>
        </w:rPr>
        <w:t>SCREENSHOT  ·</w:t>
      </w:r>
      <w:proofErr w:type="gramEnd"/>
      <w:r>
        <w:rPr>
          <w:b/>
          <w:color w:val="FFFFFF"/>
          <w:sz w:val="21"/>
        </w:rPr>
        <w:t xml:space="preserve">  Databricks — GBT Confusion Matrix &amp; AUC at Threshold 0.60</w:t>
      </w:r>
    </w:p>
    <w:p>
      <w:pPr>
        <w:spacing w:before="60" w:after="60"/>
        <w:shd w:val="clear" w:color="auto" w:fill="E8F4FD"/>
        <w:ind w:left="360" w:right="360"/>
      </w:pPr>
      <w:r>
        <w:rPr>
          <w:i/>
          <w:sz w:val="18"/>
          <w:color w:val="1F497D"/>
        </w:rPr>
        <w:t xml:space="preserve">What this shows: The 2×2 confusion matrix at the cost-optimal threshold of 0.60. True Positives (caught fraud): 8,907. False Negatives (missed fraud): 744. False Positives (false declines): 7,937. True Negatives (correct approvals): 1,834,806. Recall of 92.3% means the model catches 92 out of every 100 frauds. AUC-ROC of 0.9952 means the model ranks a random fraud above a random legit transaction 99.52% of the time. The high false-positive count is acceptable given that a missed fraud costs 21× more than a false decline.</w:t>
      </w:r>
    </w:p>
    <w:p w14:paraId="774C0729" w14:textId="4D68A22C" w:rsidR="001A33A2" w:rsidRDefault="00000000" w:rsidP="00CD5647">
      <w:pPr>
        <w:shd w:val="clear" w:color="auto" w:fill="E8F0FB"/>
        <w:spacing w:after="0"/>
      </w:pPr>
      <w:r>
        <w:rPr>
          <w:i/>
          <w:color w:val="555555"/>
        </w:rPr>
        <w:br/>
      </w:r>
      <w:r w:rsidR="00CD5647">
        <w:t xml:space="preserve">                   </w:t>
      </w:r>
      <w:r w:rsidR="00906A89">
        <w:t xml:space="preserve">                         </w:t>
      </w:r>
      <w:r w:rsidR="00906A89" w:rsidRPr="00906A89">
        <w:drawing>
          <wp:inline distT="0" distB="0" distL="0" distR="0" wp14:anchorId="4A2280D1" wp14:editId="4F823B3B">
            <wp:extent cx="3945467" cy="3148090"/>
            <wp:effectExtent l="0" t="0" r="0" b="0"/>
            <wp:docPr id="148138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86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4127" cy="316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555555"/>
        </w:rPr>
        <w:br/>
      </w:r>
    </w:p>
    <w:p w14:paraId="6268361D" w14:textId="77777777" w:rsidR="001A33A2" w:rsidRDefault="00000000">
      <w:pPr>
        <w:shd w:val="clear" w:color="auto" w:fill="1F497D"/>
        <w:spacing w:before="280" w:after="0"/>
      </w:pPr>
      <w:r>
        <w:rPr>
          <w:b/>
          <w:color w:val="FFFFFF"/>
          <w:sz w:val="21"/>
        </w:rPr>
        <w:t xml:space="preserve">  </w:t>
      </w:r>
      <w:proofErr w:type="gramStart"/>
      <w:r>
        <w:rPr>
          <w:b/>
          <w:color w:val="FFFFFF"/>
          <w:sz w:val="21"/>
        </w:rPr>
        <w:t>SCREENSHOT  ·</w:t>
      </w:r>
      <w:proofErr w:type="gramEnd"/>
      <w:r>
        <w:rPr>
          <w:b/>
          <w:color w:val="FFFFFF"/>
          <w:sz w:val="21"/>
        </w:rPr>
        <w:t xml:space="preserve">  Databricks — Cost vs Threshold Curve</w:t>
      </w:r>
    </w:p>
    <w:p>
      <w:pPr>
        <w:spacing w:before="60" w:after="60"/>
        <w:shd w:val="clear" w:color="auto" w:fill="E8F4FD"/>
        <w:ind w:left="360" w:right="360"/>
      </w:pPr>
      <w:r>
        <w:rPr>
          <w:i/>
          <w:sz w:val="18"/>
          <w:color w:val="1F497D"/>
        </w:rPr>
        <w:t xml:space="preserve">What this shows: Total operational cost at every possible decision threshold from 0 to 1. Cost is computed as (missed fraud × $530) + (false declines × $25), where $530 is the average fraud loss and $25 is the cost of a false decline. The red dot marks the cost-minimising threshold (0.60). Setting the threshold too low catches more fraud but generates expensive false declines; too high misses fraud at $530 per miss. The curve proves the threshold was chosen objectively using a business cost function, not arbitrarily at 0.5.</w:t>
      </w:r>
    </w:p>
    <w:p w14:paraId="13A7348E" w14:textId="5158267E" w:rsidR="001A33A2" w:rsidRDefault="00000000" w:rsidP="00CD5647">
      <w:pPr>
        <w:shd w:val="clear" w:color="auto" w:fill="E8F0FB"/>
        <w:spacing w:after="0"/>
        <w:jc w:val="center"/>
      </w:pPr>
      <w:r>
        <w:rPr>
          <w:i/>
          <w:color w:val="555555"/>
        </w:rPr>
        <w:br/>
      </w:r>
      <w:r w:rsidR="00006E3A" w:rsidRPr="00006E3A">
        <w:rPr>
          <w:i/>
          <w:color w:val="555555"/>
        </w:rPr>
        <w:drawing>
          <wp:inline distT="0" distB="0" distL="0" distR="0" wp14:anchorId="3DC983D8" wp14:editId="656850E3">
            <wp:extent cx="4894145" cy="2675466"/>
            <wp:effectExtent l="0" t="0" r="1905" b="0"/>
            <wp:docPr id="29379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90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3992" cy="269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555555"/>
        </w:rPr>
        <w:br/>
      </w:r>
    </w:p>
    <w:p w14:paraId="1097EF8D" w14:textId="77777777" w:rsidR="001A33A2" w:rsidRDefault="001A33A2">
      <w:pPr>
        <w:spacing w:after="80"/>
      </w:pPr>
    </w:p>
    <w:p w14:paraId="2FCD9E09" w14:textId="77777777" w:rsidR="001A33A2" w:rsidRDefault="00000000">
      <w:pPr>
        <w:shd w:val="clear" w:color="auto" w:fill="1F497D"/>
        <w:spacing w:before="280" w:after="0"/>
      </w:pPr>
      <w:r>
        <w:rPr>
          <w:b/>
          <w:color w:val="FFFFFF"/>
          <w:sz w:val="21"/>
        </w:rPr>
        <w:t xml:space="preserve">  </w:t>
      </w:r>
      <w:proofErr w:type="gramStart"/>
      <w:r>
        <w:rPr>
          <w:b/>
          <w:color w:val="FFFFFF"/>
          <w:sz w:val="21"/>
        </w:rPr>
        <w:t>SCREENSHOT  ·</w:t>
      </w:r>
      <w:proofErr w:type="gramEnd"/>
      <w:r>
        <w:rPr>
          <w:b/>
          <w:color w:val="FFFFFF"/>
          <w:sz w:val="21"/>
        </w:rPr>
        <w:t xml:space="preserve">  Databricks — Holt-Winters Forecast Plot</w:t>
      </w:r>
    </w:p>
    <w:p>
      <w:pPr>
        <w:spacing w:before="60" w:after="60"/>
        <w:shd w:val="clear" w:color="auto" w:fill="E8F4FD"/>
        <w:ind w:left="360" w:right="360"/>
      </w:pPr>
      <w:r>
        <w:rPr>
          <w:i/>
          <w:sz w:val="18"/>
          <w:color w:val="1F497D"/>
        </w:rPr>
        <w:t xml:space="preserve">What this shows: Two time-series models trained on 18 months of monthly fraud losses (Jan 2019–Jun 2020) and evaluated on a 6-month held-out test set (Jul–Dec 2020). The solid blue line is actual losses; the dashed lines are SARIMA and Holt-Winters forecasts. MAPE values show which model was more accurate. The winning model is then refit on all 24 months to produce a 6-month forward forecast (Jan–Jun 2021) for fraud provisioning — the reserve a bank sets aside to cover expected future losses.</w:t>
      </w:r>
    </w:p>
    <w:p w14:paraId="7E348061" w14:textId="1849A718" w:rsidR="001A33A2" w:rsidRDefault="00000000">
      <w:pPr>
        <w:shd w:val="clear" w:color="auto" w:fill="E8F0FB"/>
        <w:spacing w:after="0"/>
        <w:jc w:val="center"/>
      </w:pPr>
      <w:r>
        <w:rPr>
          <w:i/>
          <w:color w:val="555555"/>
        </w:rPr>
        <w:br/>
      </w:r>
      <w:r w:rsidR="00006E3A" w:rsidRPr="00006E3A">
        <w:rPr>
          <w:i/>
          <w:color w:val="555555"/>
        </w:rPr>
        <w:drawing>
          <wp:inline distT="0" distB="0" distL="0" distR="0" wp14:anchorId="3DF0D31F" wp14:editId="7DE1D486">
            <wp:extent cx="6858000" cy="3063240"/>
            <wp:effectExtent l="0" t="0" r="0" b="3810"/>
            <wp:docPr id="183840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03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555555"/>
        </w:rPr>
        <w:br/>
      </w:r>
      <w:r>
        <w:rPr>
          <w:i/>
          <w:color w:val="555555"/>
        </w:rPr>
        <w:br/>
      </w:r>
      <w:r>
        <w:rPr>
          <w:i/>
          <w:color w:val="555555"/>
        </w:rPr>
        <w:br/>
      </w:r>
    </w:p>
    <w:p w14:paraId="374B7814" w14:textId="77777777" w:rsidR="001A33A2" w:rsidRDefault="001A33A2">
      <w:pPr>
        <w:spacing w:after="80"/>
      </w:pPr>
    </w:p>
    <w:sectPr w:rsidR="001A33A2" w:rsidSect="00A373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174257">
    <w:abstractNumId w:val="8"/>
  </w:num>
  <w:num w:numId="2" w16cid:durableId="590234579">
    <w:abstractNumId w:val="6"/>
  </w:num>
  <w:num w:numId="3" w16cid:durableId="1541548577">
    <w:abstractNumId w:val="5"/>
  </w:num>
  <w:num w:numId="4" w16cid:durableId="1211528472">
    <w:abstractNumId w:val="4"/>
  </w:num>
  <w:num w:numId="5" w16cid:durableId="514610261">
    <w:abstractNumId w:val="7"/>
  </w:num>
  <w:num w:numId="6" w16cid:durableId="360710744">
    <w:abstractNumId w:val="3"/>
  </w:num>
  <w:num w:numId="7" w16cid:durableId="1935628859">
    <w:abstractNumId w:val="2"/>
  </w:num>
  <w:num w:numId="8" w16cid:durableId="1903709068">
    <w:abstractNumId w:val="1"/>
  </w:num>
  <w:num w:numId="9" w16cid:durableId="168416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E8"/>
    <w:rsid w:val="00006E3A"/>
    <w:rsid w:val="00034616"/>
    <w:rsid w:val="0006063C"/>
    <w:rsid w:val="0015074B"/>
    <w:rsid w:val="001A33A2"/>
    <w:rsid w:val="0029639D"/>
    <w:rsid w:val="00326F90"/>
    <w:rsid w:val="00906A89"/>
    <w:rsid w:val="00A37305"/>
    <w:rsid w:val="00AA1D8D"/>
    <w:rsid w:val="00B47730"/>
    <w:rsid w:val="00CB0664"/>
    <w:rsid w:val="00CD5647"/>
    <w:rsid w:val="00D50063"/>
    <w:rsid w:val="00EC31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7A2E8"/>
  <w14:defaultImageDpi w14:val="300"/>
  <w15:docId w15:val="{BEADD67E-C288-4DDF-8FB7-A92ECED5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Chotalia</cp:lastModifiedBy>
  <cp:revision>4</cp:revision>
  <dcterms:created xsi:type="dcterms:W3CDTF">2013-12-23T23:15:00Z</dcterms:created>
  <dcterms:modified xsi:type="dcterms:W3CDTF">2026-10-24T17:47:00Z</dcterms:modified>
  <cp:category/>
</cp:coreProperties>
</file>