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3F668" w14:textId="77777777" w:rsidR="00B350BE" w:rsidRDefault="00000000">
      <w:pPr>
        <w:spacing w:after="40"/>
      </w:pPr>
      <w:r>
        <w:rPr>
          <w:i/>
          <w:color w:val="555555"/>
          <w:sz w:val="20"/>
        </w:rPr>
        <w:t>Week 11 – 12  ·  Fraud Loss Analytics Platform</w:t>
      </w:r>
    </w:p>
    <w:p w14:paraId="2F50B26C" w14:textId="77777777" w:rsidR="00B350BE" w:rsidRDefault="00000000">
      <w:pPr>
        <w:spacing w:after="80"/>
      </w:pPr>
      <w:r>
        <w:rPr>
          <w:b/>
          <w:color w:val="1F497D"/>
          <w:sz w:val="44"/>
        </w:rPr>
        <w:t>Anomaly Detection &amp; Cardholder Segmentation</w:t>
      </w:r>
    </w:p>
    <w:p w14:paraId="45D9AD61" w14:textId="77777777" w:rsidR="00B350BE" w:rsidRDefault="00000000">
      <w:pPr>
        <w:spacing w:after="0"/>
      </w:pPr>
      <w:r>
        <w:rPr>
          <w:i/>
          <w:color w:val="555555"/>
          <w:sz w:val="24"/>
        </w:rPr>
        <w:t>Isolation Forest unsupervised layer · RFM quintile segmentation · Dormant cardholder fraud finding</w:t>
      </w:r>
    </w:p>
    <w:p w14:paraId="4ADD3B67" w14:textId="77777777" w:rsidR="00B350BE" w:rsidRDefault="00B350BE">
      <w:pPr>
        <w:pBdr>
          <w:bottom w:val="single" w:sz="10" w:space="1" w:color="1F497D"/>
        </w:pBdr>
        <w:spacing w:before="40" w:after="160"/>
      </w:pPr>
    </w:p>
    <w:p w14:paraId="243CBE1A" w14:textId="77777777" w:rsidR="00B350BE" w:rsidRDefault="00000000">
      <w:pPr>
        <w:spacing w:before="320" w:after="80"/>
      </w:pPr>
      <w:r>
        <w:rPr>
          <w:b/>
          <w:color w:val="1F497D"/>
          <w:sz w:val="28"/>
        </w:rPr>
        <w:t>Overview</w:t>
      </w:r>
    </w:p>
    <w:p w14:paraId="4955C390" w14:textId="77777777" w:rsidR="00B350BE" w:rsidRDefault="00B350BE">
      <w:pPr>
        <w:pBdr>
          <w:bottom w:val="single" w:sz="4" w:space="1" w:color="1F497D"/>
        </w:pBdr>
        <w:spacing w:before="40" w:after="160"/>
      </w:pPr>
    </w:p>
    <w:p w14:paraId="7A3C362A" w14:textId="77777777" w:rsidR="00B350BE" w:rsidRDefault="00000000">
      <w:pPr>
        <w:spacing w:after="100"/>
      </w:pPr>
      <w:r>
        <w:rPr>
          <w:color w:val="222222"/>
        </w:rPr>
        <w:t>The GBT model from Week 4 is a supervised classifier — it only learns what it was shown in training. Week 11 adds an unsupervised Isolation Forest layer that detects anomalous transactions that differ from normal patterns, regardless of historical labels. Week 12 segments cardholders by behavioural profile using RFM analysis, revealing that Dormant cardholders carry 3× the portfolio fraud rate — a finding with direct business implications for account monitoring.</w:t>
      </w:r>
    </w:p>
    <w:p w14:paraId="72F6D4B4" w14:textId="77777777" w:rsidR="00B350BE" w:rsidRDefault="00000000">
      <w:pPr>
        <w:spacing w:before="320" w:after="80"/>
      </w:pPr>
      <w:r>
        <w:rPr>
          <w:b/>
          <w:color w:val="1F497D"/>
          <w:sz w:val="28"/>
        </w:rPr>
        <w:t>Week 11  —  Isolation Forest Anomaly Detection</w:t>
      </w:r>
    </w:p>
    <w:p w14:paraId="024AE984" w14:textId="77777777" w:rsidR="00B350BE" w:rsidRDefault="00B350BE">
      <w:pPr>
        <w:pBdr>
          <w:bottom w:val="single" w:sz="4" w:space="1" w:color="1F497D"/>
        </w:pBdr>
        <w:spacing w:before="40" w:after="160"/>
      </w:pPr>
    </w:p>
    <w:p w14:paraId="0EED24A1" w14:textId="77777777" w:rsidR="00B350BE" w:rsidRDefault="00000000">
      <w:pPr>
        <w:spacing w:before="200" w:after="40"/>
      </w:pPr>
      <w:r>
        <w:rPr>
          <w:b/>
          <w:color w:val="1F497D"/>
          <w:sz w:val="24"/>
        </w:rPr>
        <w:t>Why Unsupervised Anomaly Detection</w:t>
      </w:r>
    </w:p>
    <w:p w14:paraId="3AA2E665" w14:textId="77777777" w:rsidR="00B350BE" w:rsidRDefault="00000000">
      <w:pPr>
        <w:spacing w:after="100"/>
      </w:pPr>
      <w:r>
        <w:rPr>
          <w:color w:val="222222"/>
        </w:rPr>
        <w:t>Supervised models like GBT can only detect fraud patterns that exist in historical labelled data. Novel fraud attacks — new merchant scams, card-not-present attacks on new platforms — have no historical label to learn from. Isolation Forest detects anomalies by measuring how easy it is to isolate a point from the rest of the data: anomalies are isolated in fewer splits.</w:t>
      </w:r>
    </w:p>
    <w:p w14:paraId="166D7A20" w14:textId="77777777" w:rsidR="00B350BE" w:rsidRDefault="00000000">
      <w:pPr>
        <w:pStyle w:val="ListBullet"/>
        <w:spacing w:after="40"/>
      </w:pPr>
      <w:r>
        <w:rPr>
          <w:b/>
          <w:color w:val="222222"/>
        </w:rPr>
        <w:t xml:space="preserve">Key parameter: </w:t>
      </w:r>
      <w:r>
        <w:rPr>
          <w:color w:val="222222"/>
        </w:rPr>
        <w:t>contamination=0.01 (expects ~1% of transactions to be anomalous)</w:t>
      </w:r>
    </w:p>
    <w:p w14:paraId="00F2D168" w14:textId="77777777" w:rsidR="00B350BE" w:rsidRDefault="00000000">
      <w:pPr>
        <w:pStyle w:val="ListBullet"/>
        <w:spacing w:after="40"/>
      </w:pPr>
      <w:r>
        <w:rPr>
          <w:b/>
          <w:color w:val="222222"/>
        </w:rPr>
        <w:t xml:space="preserve">Feature set: </w:t>
      </w:r>
      <w:r>
        <w:rPr>
          <w:color w:val="222222"/>
        </w:rPr>
        <w:t>Features: amt, hour, geo_dist, city_pop, category_encoded</w:t>
      </w:r>
    </w:p>
    <w:p w14:paraId="7E582399" w14:textId="77777777" w:rsidR="00B350BE" w:rsidRDefault="00000000">
      <w:pPr>
        <w:pStyle w:val="ListBullet"/>
        <w:spacing w:after="40"/>
      </w:pPr>
      <w:r>
        <w:rPr>
          <w:b/>
          <w:color w:val="222222"/>
        </w:rPr>
        <w:t xml:space="preserve">Model settings: </w:t>
      </w:r>
      <w:r>
        <w:rPr>
          <w:color w:val="222222"/>
        </w:rPr>
        <w:t>n_estimators=100, random_state=42</w:t>
      </w:r>
    </w:p>
    <w:p w14:paraId="165A93DB" w14:textId="77777777" w:rsidR="00B350BE" w:rsidRDefault="00000000">
      <w:pPr>
        <w:spacing w:before="200" w:after="40"/>
      </w:pPr>
      <w:r>
        <w:rPr>
          <w:b/>
          <w:color w:val="1F497D"/>
          <w:sz w:val="24"/>
        </w:rPr>
        <w:t>GBT Blind Spot Analysis</w:t>
      </w:r>
    </w:p>
    <w:p w14:paraId="6D27BBA8" w14:textId="2856FE6A" w:rsidR="00DE693A" w:rsidRDefault="00000000">
      <w:pPr>
        <w:spacing w:after="100"/>
        <w:rPr>
          <w:color w:val="222222"/>
        </w:rPr>
      </w:pPr>
      <w:r>
        <w:rPr>
          <w:color w:val="222222"/>
        </w:rPr>
        <w:t xml:space="preserve">A key output of Week 11 is the blind spot analysis: how many fraud transactions did the GBT model miss (FN) that Isolation Forest flagged as anomalous? These transactions are the "GBT blind spots" — fraud the supervised model never learned to catch. The intersection of IF anomalies and GBT false negatives </w:t>
      </w:r>
      <w:proofErr w:type="gramStart"/>
      <w:r>
        <w:rPr>
          <w:color w:val="222222"/>
        </w:rPr>
        <w:t>shows</w:t>
      </w:r>
      <w:proofErr w:type="gramEnd"/>
      <w:r>
        <w:rPr>
          <w:color w:val="222222"/>
        </w:rPr>
        <w:t xml:space="preserve"> where the two layers are complementary.</w:t>
      </w:r>
    </w:p>
    <w:p w14:paraId="1D60435F" w14:textId="77777777" w:rsidR="00DE693A" w:rsidRDefault="00DE693A">
      <w:pPr>
        <w:spacing w:after="100"/>
        <w:rPr>
          <w:color w:val="222222"/>
        </w:rPr>
      </w:pPr>
    </w:p>
    <w:p w14:paraId="168BFB07" w14:textId="77777777" w:rsidR="00DE693A" w:rsidRDefault="00DE693A">
      <w:pPr>
        <w:spacing w:after="100"/>
        <w:rPr>
          <w:color w:val="222222"/>
        </w:rPr>
      </w:pPr>
    </w:p>
    <w:p w14:paraId="4C950F89" w14:textId="77777777" w:rsidR="00DE693A" w:rsidRDefault="00DE693A">
      <w:pPr>
        <w:spacing w:after="100"/>
        <w:rPr>
          <w:color w:val="222222"/>
        </w:rPr>
      </w:pPr>
    </w:p>
    <w:p w14:paraId="4C248F8C" w14:textId="77777777" w:rsidR="00DE693A" w:rsidRDefault="00DE693A">
      <w:pPr>
        <w:spacing w:after="100"/>
        <w:rPr>
          <w:color w:val="222222"/>
        </w:rPr>
      </w:pPr>
    </w:p>
    <w:p w14:paraId="71D23F79" w14:textId="77777777" w:rsidR="00DE693A" w:rsidRDefault="00DE693A">
      <w:pPr>
        <w:spacing w:after="100"/>
        <w:rPr>
          <w:color w:val="222222"/>
        </w:rPr>
      </w:pPr>
    </w:p>
    <w:p w14:paraId="2C8EC16F" w14:textId="77777777" w:rsidR="00DE693A" w:rsidRDefault="00DE693A">
      <w:pPr>
        <w:spacing w:after="100"/>
        <w:rPr>
          <w:color w:val="222222"/>
        </w:rPr>
      </w:pPr>
    </w:p>
    <w:p w14:paraId="3CAB1AB6" w14:textId="77777777" w:rsidR="00DE693A" w:rsidRDefault="00DE693A">
      <w:pPr>
        <w:spacing w:after="100"/>
        <w:rPr>
          <w:color w:val="222222"/>
        </w:rPr>
      </w:pPr>
    </w:p>
    <w:p w14:paraId="473BBD6F" w14:textId="77777777" w:rsidR="00DE693A" w:rsidRPr="00DE693A" w:rsidRDefault="00DE693A">
      <w:pPr>
        <w:spacing w:after="100"/>
        <w:rPr>
          <w:color w:val="222222"/>
        </w:rPr>
      </w:pPr>
    </w:p>
    <w:p w14:paraId="5533645B" w14:textId="77777777" w:rsidR="00B350BE" w:rsidRDefault="00000000">
      <w:pPr>
        <w:shd w:val="clear" w:color="auto" w:fill="F3F3F3"/>
        <w:spacing w:before="80" w:after="80"/>
        <w:ind w:left="360"/>
      </w:pPr>
      <w:r>
        <w:rPr>
          <w:rFonts w:ascii="Courier New" w:hAnsi="Courier New"/>
          <w:color w:val="1E1E1E"/>
          <w:sz w:val="19"/>
        </w:rPr>
        <w:t># Transactions flagged by IF but missed by GBT</w:t>
      </w:r>
      <w:r>
        <w:rPr>
          <w:rFonts w:ascii="Courier New" w:hAnsi="Courier New"/>
          <w:color w:val="1E1E1E"/>
          <w:sz w:val="19"/>
        </w:rPr>
        <w:br/>
        <w:t>blind_spots = df[(df["if_anomaly"] == -1) &amp; (df["gbt_pred"] == 0) &amp; (df["is_fraud"] == 1)]</w:t>
      </w:r>
    </w:p>
    <w:p w14:paraId="2F9DCAC1" w14:textId="749B2281" w:rsidR="00B350BE" w:rsidRDefault="00000000">
      <w:pPr>
        <w:shd w:val="clear" w:color="auto" w:fill="1F497D"/>
        <w:spacing w:before="280" w:after="0"/>
      </w:pPr>
      <w:r>
        <w:rPr>
          <w:b/>
          <w:color w:val="FFFFFF"/>
          <w:sz w:val="21"/>
        </w:rPr>
        <w:lastRenderedPageBreak/>
        <w:t xml:space="preserve">  </w:t>
      </w:r>
      <w:proofErr w:type="gramStart"/>
      <w:r>
        <w:rPr>
          <w:b/>
          <w:color w:val="FFFFFF"/>
          <w:sz w:val="21"/>
        </w:rPr>
        <w:t>SCREENSHOT  ·</w:t>
      </w:r>
      <w:proofErr w:type="gramEnd"/>
      <w:r>
        <w:rPr>
          <w:b/>
          <w:color w:val="FFFFFF"/>
          <w:sz w:val="21"/>
        </w:rPr>
        <w:t xml:space="preserve">  Databricks — Isolation Forest Anomaly Score Distribution</w:t>
      </w:r>
    </w:p>
    <w:p>
      <w:pPr>
        <w:spacing w:before="60" w:after="60"/>
        <w:shd w:val="clear" w:color="auto" w:fill="E8F4FD"/>
        <w:ind w:left="360" w:right="360"/>
      </w:pPr>
      <w:r>
        <w:rPr>
          <w:i/>
          <w:sz w:val="18"/>
          <w:color w:val="1F497D"/>
        </w:rPr>
        <w:t xml:space="preserve">What this shows: Anomaly score distribution from Isolation Forest trained unsupervised on transaction features. Scores range from most anomalous (negative) to normal (near zero). Fraud transactions cluster at lower (more anomalous) scores compared to legit transactions, validating that unusual behaviour correlates with fraud. Isolation Forest is used as a second opinion alongside GBT — it catches novel fraud patterns the supervised model was not trained to recognise. This is the 'unknown unknowns' layer: flagging fraud that looks unlike anything in the training data.</w:t>
      </w:r>
    </w:p>
    <w:p w14:paraId="56C88950" w14:textId="5762108E" w:rsidR="00DE693A" w:rsidRDefault="00DE693A">
      <w:pPr>
        <w:shd w:val="clear" w:color="auto" w:fill="E8F0FB"/>
        <w:spacing w:after="0"/>
        <w:jc w:val="center"/>
        <w:rPr>
          <w:i/>
          <w:color w:val="555555"/>
        </w:rPr>
      </w:pPr>
    </w:p>
    <w:p w14:paraId="78F5973E" w14:textId="77777777" w:rsidR="00DE693A" w:rsidRDefault="00DE693A">
      <w:pPr>
        <w:shd w:val="clear" w:color="auto" w:fill="E8F0FB"/>
        <w:spacing w:after="0"/>
        <w:jc w:val="center"/>
        <w:rPr>
          <w:i/>
          <w:color w:val="555555"/>
        </w:rPr>
      </w:pPr>
      <w:r w:rsidRPr="00DE693A">
        <w:rPr>
          <w:i/>
          <w:color w:val="555555"/>
        </w:rPr>
        <w:drawing>
          <wp:inline distT="0" distB="0" distL="0" distR="0" wp14:anchorId="0F5601BE" wp14:editId="1A22386D">
            <wp:extent cx="3374571" cy="2200275"/>
            <wp:effectExtent l="0" t="0" r="0" b="0"/>
            <wp:docPr id="49857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76121" name=""/>
                    <pic:cNvPicPr/>
                  </pic:nvPicPr>
                  <pic:blipFill rotWithShape="1">
                    <a:blip r:embed="rId6"/>
                    <a:srcRect r="50794"/>
                    <a:stretch>
                      <a:fillRect/>
                    </a:stretch>
                  </pic:blipFill>
                  <pic:spPr bwMode="auto">
                    <a:xfrm>
                      <a:off x="0" y="0"/>
                      <a:ext cx="3374571" cy="2200275"/>
                    </a:xfrm>
                    <a:prstGeom prst="rect">
                      <a:avLst/>
                    </a:prstGeom>
                    <a:ln>
                      <a:noFill/>
                    </a:ln>
                    <a:extLst>
                      <a:ext uri="{53640926-AAD7-44D8-BBD7-CCE9431645EC}">
                        <a14:shadowObscured xmlns:a14="http://schemas.microsoft.com/office/drawing/2010/main"/>
                      </a:ext>
                    </a:extLst>
                  </pic:spPr>
                </pic:pic>
              </a:graphicData>
            </a:graphic>
          </wp:inline>
        </w:drawing>
      </w:r>
    </w:p>
    <w:p w14:paraId="24826D60" w14:textId="77777777" w:rsidR="00DE693A" w:rsidRDefault="00DE693A">
      <w:pPr>
        <w:shd w:val="clear" w:color="auto" w:fill="E8F0FB"/>
        <w:spacing w:after="0"/>
        <w:jc w:val="center"/>
        <w:rPr>
          <w:i/>
          <w:color w:val="555555"/>
        </w:rPr>
      </w:pPr>
    </w:p>
    <w:p w14:paraId="0C1D8D92" w14:textId="1B12190A" w:rsidR="00B350BE" w:rsidRDefault="00DE693A" w:rsidP="00DE693A">
      <w:pPr>
        <w:shd w:val="clear" w:color="auto" w:fill="E8F0FB"/>
        <w:spacing w:after="0"/>
        <w:jc w:val="center"/>
      </w:pPr>
      <w:r w:rsidRPr="00DE693A">
        <w:rPr>
          <w:i/>
          <w:color w:val="555555"/>
        </w:rPr>
        <w:drawing>
          <wp:inline distT="0" distB="0" distL="0" distR="0" wp14:anchorId="64840059" wp14:editId="4DDE23CB">
            <wp:extent cx="3483429" cy="2200275"/>
            <wp:effectExtent l="0" t="0" r="3175" b="0"/>
            <wp:docPr id="213976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60316" name=""/>
                    <pic:cNvPicPr/>
                  </pic:nvPicPr>
                  <pic:blipFill rotWithShape="1">
                    <a:blip r:embed="rId6"/>
                    <a:srcRect l="49206"/>
                    <a:stretch>
                      <a:fillRect/>
                    </a:stretch>
                  </pic:blipFill>
                  <pic:spPr bwMode="auto">
                    <a:xfrm>
                      <a:off x="0" y="0"/>
                      <a:ext cx="3483429" cy="2200275"/>
                    </a:xfrm>
                    <a:prstGeom prst="rect">
                      <a:avLst/>
                    </a:prstGeom>
                    <a:ln>
                      <a:noFill/>
                    </a:ln>
                    <a:extLst>
                      <a:ext uri="{53640926-AAD7-44D8-BBD7-CCE9431645EC}">
                        <a14:shadowObscured xmlns:a14="http://schemas.microsoft.com/office/drawing/2010/main"/>
                      </a:ext>
                    </a:extLst>
                  </pic:spPr>
                </pic:pic>
              </a:graphicData>
            </a:graphic>
          </wp:inline>
        </w:drawing>
      </w:r>
      <w:r w:rsidR="00000000">
        <w:rPr>
          <w:i/>
          <w:color w:val="555555"/>
        </w:rPr>
        <w:br/>
      </w:r>
    </w:p>
    <w:p w14:paraId="64CCE2F1" w14:textId="77777777" w:rsidR="00B350BE" w:rsidRDefault="00000000">
      <w:pPr>
        <w:shd w:val="clear" w:color="auto" w:fill="1F497D"/>
        <w:spacing w:before="280" w:after="0"/>
      </w:pPr>
      <w:r>
        <w:rPr>
          <w:b/>
          <w:color w:val="FFFFFF"/>
          <w:sz w:val="21"/>
        </w:rPr>
        <w:t xml:space="preserve">  </w:t>
      </w:r>
      <w:proofErr w:type="gramStart"/>
      <w:r>
        <w:rPr>
          <w:b/>
          <w:color w:val="FFFFFF"/>
          <w:sz w:val="21"/>
        </w:rPr>
        <w:t>SCREENSHOT  ·</w:t>
      </w:r>
      <w:proofErr w:type="gramEnd"/>
      <w:r>
        <w:rPr>
          <w:b/>
          <w:color w:val="FFFFFF"/>
          <w:sz w:val="21"/>
        </w:rPr>
        <w:t xml:space="preserve">  Databricks — GBT Blind Spot Analysis Output</w:t>
      </w:r>
    </w:p>
    <w:p>
      <w:pPr>
        <w:spacing w:before="60" w:after="60"/>
        <w:shd w:val="clear" w:color="auto" w:fill="E8F4FD"/>
        <w:ind w:left="360" w:right="360"/>
      </w:pPr>
      <w:r>
        <w:rPr>
          <w:i/>
          <w:sz w:val="18"/>
          <w:color w:val="1F497D"/>
        </w:rPr>
        <w:t xml:space="preserve">What this shows: Cross-referencing GBT predictions with Isolation Forest flags to find the model's blind spots. Of all fraud transactions: 2,831 caught by GBT only, 221 by both, 4 by IF only (GBT blind spots), 252 missed by both. The table shows the top GBT blind spots — transactions with fraud_prob below 0.60 but with anomalous IF scores. These represent fraud patterns outside GBT's training distribution. Final outcome: documented in MLflow as required by OSFI E-23, demonstrating the team understands and monitors the model's limitations.</w:t>
      </w:r>
    </w:p>
    <w:p w14:paraId="232B2DA4" w14:textId="73E1BE15" w:rsidR="00B350BE" w:rsidRDefault="00000000">
      <w:pPr>
        <w:shd w:val="clear" w:color="auto" w:fill="E8F0FB"/>
        <w:spacing w:after="0"/>
        <w:jc w:val="center"/>
      </w:pPr>
      <w:r>
        <w:rPr>
          <w:i/>
          <w:color w:val="555555"/>
        </w:rPr>
        <w:br/>
      </w:r>
      <w:r w:rsidR="000618C8" w:rsidRPr="000618C8">
        <w:rPr>
          <w:i/>
          <w:color w:val="555555"/>
        </w:rPr>
        <w:drawing>
          <wp:inline distT="0" distB="0" distL="0" distR="0" wp14:anchorId="70C57E28" wp14:editId="3F07B276">
            <wp:extent cx="6858000" cy="2039620"/>
            <wp:effectExtent l="0" t="0" r="0" b="0"/>
            <wp:docPr id="119970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08057" name=""/>
                    <pic:cNvPicPr/>
                  </pic:nvPicPr>
                  <pic:blipFill>
                    <a:blip r:embed="rId7"/>
                    <a:stretch>
                      <a:fillRect/>
                    </a:stretch>
                  </pic:blipFill>
                  <pic:spPr>
                    <a:xfrm>
                      <a:off x="0" y="0"/>
                      <a:ext cx="6858000" cy="2039620"/>
                    </a:xfrm>
                    <a:prstGeom prst="rect">
                      <a:avLst/>
                    </a:prstGeom>
                  </pic:spPr>
                </pic:pic>
              </a:graphicData>
            </a:graphic>
          </wp:inline>
        </w:drawing>
      </w:r>
      <w:r>
        <w:rPr>
          <w:i/>
          <w:color w:val="555555"/>
        </w:rPr>
        <w:br/>
      </w:r>
      <w:r>
        <w:rPr>
          <w:i/>
          <w:color w:val="555555"/>
        </w:rPr>
        <w:br/>
      </w:r>
    </w:p>
    <w:p w14:paraId="13ABF53F" w14:textId="77777777" w:rsidR="00B350BE" w:rsidRDefault="00B350BE">
      <w:pPr>
        <w:spacing w:after="80"/>
        <w:rPr>
          <w:color w:val="222222"/>
          <w:sz w:val="20"/>
        </w:rPr>
      </w:pPr>
    </w:p>
    <w:p w14:paraId="3BC4AADF" w14:textId="77777777" w:rsidR="000618C8" w:rsidRDefault="000618C8">
      <w:pPr>
        <w:spacing w:after="80"/>
        <w:rPr>
          <w:color w:val="222222"/>
          <w:sz w:val="20"/>
        </w:rPr>
      </w:pPr>
    </w:p>
    <w:p w14:paraId="4AA43189" w14:textId="77777777" w:rsidR="000618C8" w:rsidRDefault="000618C8">
      <w:pPr>
        <w:spacing w:after="80"/>
      </w:pPr>
    </w:p>
    <w:p w14:paraId="46EC1E9E" w14:textId="77777777" w:rsidR="00B350BE" w:rsidRDefault="00000000">
      <w:pPr>
        <w:spacing w:before="320" w:after="80"/>
      </w:pPr>
      <w:r>
        <w:rPr>
          <w:b/>
          <w:color w:val="1F497D"/>
          <w:sz w:val="28"/>
        </w:rPr>
        <w:lastRenderedPageBreak/>
        <w:t xml:space="preserve">Week </w:t>
      </w:r>
      <w:proofErr w:type="gramStart"/>
      <w:r>
        <w:rPr>
          <w:b/>
          <w:color w:val="1F497D"/>
          <w:sz w:val="28"/>
        </w:rPr>
        <w:t>12  —</w:t>
      </w:r>
      <w:proofErr w:type="gramEnd"/>
      <w:r>
        <w:rPr>
          <w:b/>
          <w:color w:val="1F497D"/>
          <w:sz w:val="28"/>
        </w:rPr>
        <w:t xml:space="preserve">  RFM Cardholder Segmentation</w:t>
      </w:r>
    </w:p>
    <w:p w14:paraId="6B5F7E18" w14:textId="77777777" w:rsidR="00B350BE" w:rsidRDefault="00B350BE">
      <w:pPr>
        <w:pBdr>
          <w:bottom w:val="single" w:sz="4" w:space="1" w:color="1F497D"/>
        </w:pBdr>
        <w:spacing w:before="40" w:after="160"/>
      </w:pPr>
    </w:p>
    <w:p w14:paraId="497551BC" w14:textId="77777777" w:rsidR="00B350BE" w:rsidRDefault="00000000">
      <w:pPr>
        <w:spacing w:before="200" w:after="40"/>
      </w:pPr>
      <w:r>
        <w:rPr>
          <w:b/>
          <w:color w:val="1F497D"/>
          <w:sz w:val="24"/>
        </w:rPr>
        <w:t>What RFM Means</w:t>
      </w:r>
    </w:p>
    <w:p w14:paraId="34CD6C3E" w14:textId="77777777" w:rsidR="00B350BE" w:rsidRDefault="00000000">
      <w:pPr>
        <w:spacing w:after="100"/>
      </w:pPr>
      <w:r>
        <w:rPr>
          <w:color w:val="222222"/>
        </w:rPr>
        <w:t>RFM segments customers by three behavioural dimensions:</w:t>
      </w:r>
    </w:p>
    <w:p w14:paraId="47BE6349" w14:textId="77777777" w:rsidR="00B350BE" w:rsidRDefault="00000000">
      <w:pPr>
        <w:pStyle w:val="ListBullet"/>
        <w:spacing w:after="40"/>
      </w:pPr>
      <w:r>
        <w:rPr>
          <w:b/>
          <w:color w:val="222222"/>
        </w:rPr>
        <w:t xml:space="preserve">R: </w:t>
      </w:r>
      <w:r>
        <w:rPr>
          <w:color w:val="222222"/>
        </w:rPr>
        <w:t>Recency — how many days since the cardholder's last transaction (lower = more recent)</w:t>
      </w:r>
    </w:p>
    <w:p w14:paraId="6DF3BC69" w14:textId="77777777" w:rsidR="00B350BE" w:rsidRDefault="00000000">
      <w:pPr>
        <w:pStyle w:val="ListBullet"/>
        <w:spacing w:after="40"/>
      </w:pPr>
      <w:r>
        <w:rPr>
          <w:b/>
          <w:color w:val="222222"/>
        </w:rPr>
        <w:t xml:space="preserve">F: </w:t>
      </w:r>
      <w:r>
        <w:rPr>
          <w:color w:val="222222"/>
        </w:rPr>
        <w:t>Frequency — how many transactions the cardholder made in the period</w:t>
      </w:r>
    </w:p>
    <w:p w14:paraId="3A9000A1" w14:textId="77777777" w:rsidR="00B350BE" w:rsidRDefault="00000000">
      <w:pPr>
        <w:pStyle w:val="ListBullet"/>
        <w:spacing w:after="40"/>
      </w:pPr>
      <w:r>
        <w:rPr>
          <w:b/>
          <w:color w:val="222222"/>
        </w:rPr>
        <w:t xml:space="preserve">M: </w:t>
      </w:r>
      <w:r>
        <w:rPr>
          <w:color w:val="222222"/>
        </w:rPr>
        <w:t>Monetary — total spend across the period</w:t>
      </w:r>
    </w:p>
    <w:p w14:paraId="4174FD53" w14:textId="77777777" w:rsidR="00B350BE" w:rsidRDefault="00000000">
      <w:pPr>
        <w:spacing w:after="100"/>
      </w:pPr>
      <w:r>
        <w:rPr>
          <w:color w:val="222222"/>
        </w:rPr>
        <w:t>Each dimension is scored 1–5 (quintiles). Cardholders with scores (5,5,5) are Champions (high-value, active, recent). Cardholders with (1,1,1) are Dormant (inactive, low value, last transaction long ago). A two-digit segment code (RF prefix) produces 9 distinct segment labels.</w:t>
      </w:r>
    </w:p>
    <w:p w14:paraId="40273504" w14:textId="77777777" w:rsidR="00B350BE" w:rsidRDefault="00000000">
      <w:pPr>
        <w:spacing w:before="200" w:after="40"/>
      </w:pPr>
      <w:r>
        <w:rPr>
          <w:b/>
          <w:color w:val="1F497D"/>
          <w:sz w:val="24"/>
        </w:rPr>
        <w:t>Scoring Method — Why rank() not qcut()</w:t>
      </w:r>
    </w:p>
    <w:p w14:paraId="3B29A874" w14:textId="77777777" w:rsidR="00B350BE" w:rsidRDefault="00000000">
      <w:pPr>
        <w:spacing w:after="100"/>
      </w:pPr>
      <w:r>
        <w:rPr>
          <w:color w:val="222222"/>
        </w:rPr>
        <w:t>pandas.qcut() fails when many cardholders have identical RFM values (e.g., many cardholders with exactly 1 transaction), producing a "Bin edges must be unique" error. The solution is to use rank(method="first", pct=True) to assign a percentile rank to every cardholder, then cut the continuous percentile into 5 equal buckets with pd.cut().</w:t>
      </w:r>
    </w:p>
    <w:p w14:paraId="4830475A" w14:textId="77777777" w:rsidR="00B350BE" w:rsidRDefault="00000000">
      <w:pPr>
        <w:shd w:val="clear" w:color="auto" w:fill="F3F3F3"/>
        <w:spacing w:before="80" w:after="80"/>
        <w:ind w:left="360"/>
      </w:pPr>
      <w:r>
        <w:rPr>
          <w:rFonts w:ascii="Courier New" w:hAnsi="Courier New"/>
          <w:color w:val="1E1E1E"/>
          <w:sz w:val="19"/>
        </w:rPr>
        <w:t>rfm["R_score"] = pd.cut(rfm["recency_days"].rank(method="first", pct=True, ascending=False),</w:t>
      </w:r>
      <w:r>
        <w:rPr>
          <w:rFonts w:ascii="Courier New" w:hAnsi="Courier New"/>
          <w:color w:val="1E1E1E"/>
          <w:sz w:val="19"/>
        </w:rPr>
        <w:br/>
        <w:t xml:space="preserve">                         bins=5, labels=[5,4,3,2,1]).astype(int)</w:t>
      </w:r>
    </w:p>
    <w:p w14:paraId="7F2E2008" w14:textId="77777777" w:rsidR="00B350BE" w:rsidRDefault="00000000">
      <w:pPr>
        <w:spacing w:before="200" w:after="40"/>
      </w:pPr>
      <w:r>
        <w:rPr>
          <w:b/>
          <w:color w:val="1F497D"/>
          <w:sz w:val="24"/>
        </w:rPr>
        <w:t>Key Finding — Dormant Segment</w:t>
      </w:r>
    </w:p>
    <w:p w14:paraId="278FD908" w14:textId="77777777" w:rsidR="00B350BE" w:rsidRDefault="00000000">
      <w:pPr>
        <w:spacing w:after="100"/>
      </w:pPr>
      <w:r>
        <w:rPr>
          <w:color w:val="222222"/>
        </w:rPr>
        <w:t>Dormant cardholders (R=1, F=1, M=1–2) show a fraud rate approximately 3× the portfolio average. This is consistent with a known fraud pattern: cards that have not been used in months are more likely to have been compromised without the cardholder noticing. This finding directly supports a business recommendation: proactive outreach and enhanced monitoring for dormant accounts.</w:t>
      </w:r>
    </w:p>
    <w:p w14:paraId="5485C0C7" w14:textId="77777777" w:rsidR="00B350BE" w:rsidRDefault="00000000">
      <w:pPr>
        <w:shd w:val="clear" w:color="auto" w:fill="E8F0FB"/>
        <w:spacing w:before="120" w:after="120"/>
        <w:ind w:left="216"/>
      </w:pPr>
      <w:r>
        <w:rPr>
          <w:b/>
          <w:color w:val="1F497D"/>
          <w:sz w:val="21"/>
        </w:rPr>
        <w:t xml:space="preserve">  Interview talking point:  </w:t>
      </w:r>
      <w:r>
        <w:rPr>
          <w:color w:val="222222"/>
          <w:sz w:val="21"/>
        </w:rPr>
        <w:t>"The Dormant segment finding led to a concrete recommendation: implement a dormant-account alert trigger — any transaction on a card inactive for 90+ days should receive additional step-up authentication." This translates analysis into action.</w:t>
      </w:r>
    </w:p>
    <w:p w14:paraId="2A4166F7" w14:textId="77777777" w:rsidR="00B350BE" w:rsidRDefault="00000000">
      <w:pPr>
        <w:shd w:val="clear" w:color="auto" w:fill="1F497D"/>
        <w:spacing w:before="280" w:after="0"/>
      </w:pPr>
      <w:r>
        <w:rPr>
          <w:b/>
          <w:color w:val="FFFFFF"/>
          <w:sz w:val="21"/>
        </w:rPr>
        <w:t xml:space="preserve">  SCREENSHOT  ·  Databricks — RFM Segment Fraud Rate Chart</w:t>
      </w:r>
    </w:p>
    <w:p>
      <w:pPr>
        <w:spacing w:before="60" w:after="60"/>
        <w:shd w:val="clear" w:color="auto" w:fill="E8F4FD"/>
        <w:ind w:left="360" w:right="360"/>
      </w:pPr>
      <w:r>
        <w:rPr>
          <w:i/>
          <w:sz w:val="18"/>
          <w:color w:val="1F497D"/>
        </w:rPr>
        <w:t xml:space="preserve">What this shows: Fraud rate by RFM (Recency, Frequency, Monetary) customer segment. Dormant cardholders have the highest rate at 1.61% — 3.1× the portfolio average of 0.521%. New/Infrequent cardholders are second at 1.11%. Champions and Loyal customers have the lowest rates (~0.34–0.38%). Dormant accounts are targeted for account takeover because the cardholder is less likely to notice quickly. Actionable recommendation: apply step-up re-authentication for any dormant cardholder on their first transaction after a period of inactivity.</w:t>
      </w:r>
    </w:p>
    <w:p w14:paraId="1E00D788" w14:textId="5706D999" w:rsidR="00B350BE" w:rsidRDefault="00000000" w:rsidP="000618C8">
      <w:pPr>
        <w:shd w:val="clear" w:color="auto" w:fill="E8F0FB"/>
        <w:spacing w:after="0"/>
      </w:pPr>
      <w:r>
        <w:rPr>
          <w:i/>
          <w:color w:val="555555"/>
        </w:rPr>
        <w:br/>
      </w:r>
      <w:r w:rsidR="000618C8" w:rsidRPr="000618C8">
        <w:rPr>
          <w:i/>
          <w:color w:val="555555"/>
        </w:rPr>
        <w:drawing>
          <wp:inline distT="0" distB="0" distL="0" distR="0" wp14:anchorId="654DA59D" wp14:editId="3747C2BF">
            <wp:extent cx="6856350" cy="2525486"/>
            <wp:effectExtent l="0" t="0" r="1905" b="8255"/>
            <wp:docPr id="123997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79852" name=""/>
                    <pic:cNvPicPr/>
                  </pic:nvPicPr>
                  <pic:blipFill>
                    <a:blip r:embed="rId8"/>
                    <a:stretch>
                      <a:fillRect/>
                    </a:stretch>
                  </pic:blipFill>
                  <pic:spPr>
                    <a:xfrm>
                      <a:off x="0" y="0"/>
                      <a:ext cx="6897174" cy="2540523"/>
                    </a:xfrm>
                    <a:prstGeom prst="rect">
                      <a:avLst/>
                    </a:prstGeom>
                  </pic:spPr>
                </pic:pic>
              </a:graphicData>
            </a:graphic>
          </wp:inline>
        </w:drawing>
      </w:r>
      <w:r>
        <w:rPr>
          <w:i/>
          <w:color w:val="555555"/>
        </w:rPr>
        <w:br/>
      </w:r>
      <w:r>
        <w:rPr>
          <w:i/>
          <w:color w:val="555555"/>
        </w:rPr>
        <w:br/>
      </w:r>
    </w:p>
    <w:p w14:paraId="21593009" w14:textId="77777777" w:rsidR="00B350BE" w:rsidRDefault="00000000">
      <w:pPr>
        <w:shd w:val="clear" w:color="auto" w:fill="1F497D"/>
        <w:spacing w:before="280" w:after="0"/>
      </w:pPr>
      <w:r>
        <w:rPr>
          <w:b/>
          <w:color w:val="FFFFFF"/>
          <w:sz w:val="21"/>
        </w:rPr>
        <w:lastRenderedPageBreak/>
        <w:t xml:space="preserve">  </w:t>
      </w:r>
      <w:proofErr w:type="gramStart"/>
      <w:r>
        <w:rPr>
          <w:b/>
          <w:color w:val="FFFFFF"/>
          <w:sz w:val="21"/>
        </w:rPr>
        <w:t>SCREENSHOT  ·</w:t>
      </w:r>
      <w:proofErr w:type="gramEnd"/>
      <w:r>
        <w:rPr>
          <w:b/>
          <w:color w:val="FFFFFF"/>
          <w:sz w:val="21"/>
        </w:rPr>
        <w:t xml:space="preserve">  Databricks — RFM Segment Distribution (Cardholder Count per Segment)</w:t>
      </w:r>
    </w:p>
    <w:p>
      <w:pPr>
        <w:spacing w:before="60" w:after="60"/>
        <w:shd w:val="clear" w:color="auto" w:fill="E8F4FD"/>
        <w:ind w:left="360" w:right="360"/>
      </w:pPr>
      <w:r>
        <w:rPr>
          <w:i/>
          <w:sz w:val="18"/>
          <w:color w:val="1F497D"/>
        </w:rPr>
        <w:t xml:space="preserve">What this shows: Cardholder counts per RFM segment: Potential Loyalists (241), Dormant (200), At Risk – High Value (162), Champions (154), Loyal (104). Dormant is the second-largest segment but has a 1.61% fraud rate, meaning despite their inactivity they represent a disproportionate fraud risk. At Risk – High Value (162 cardholders, above-average fraud rate) is also notable. This distribution drives the business case for a targeted dormant-account reactivation programme with enhanced authentication controls.</w:t>
      </w:r>
    </w:p>
    <w:p w14:paraId="565025D4" w14:textId="1EE40A9C" w:rsidR="00B350BE" w:rsidRDefault="00000000" w:rsidP="00A742DB">
      <w:pPr>
        <w:shd w:val="clear" w:color="auto" w:fill="E8F0FB"/>
        <w:spacing w:after="0"/>
        <w:jc w:val="center"/>
      </w:pPr>
      <w:r>
        <w:rPr>
          <w:i/>
          <w:color w:val="555555"/>
        </w:rPr>
        <w:br/>
      </w:r>
      <w:r w:rsidR="00A742DB" w:rsidRPr="00A742DB">
        <w:rPr>
          <w:i/>
          <w:color w:val="555555"/>
        </w:rPr>
        <w:drawing>
          <wp:inline distT="0" distB="0" distL="0" distR="0" wp14:anchorId="26846311" wp14:editId="1A40E2B3">
            <wp:extent cx="6858000" cy="1934210"/>
            <wp:effectExtent l="0" t="0" r="0" b="8890"/>
            <wp:docPr id="137351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11200" name=""/>
                    <pic:cNvPicPr/>
                  </pic:nvPicPr>
                  <pic:blipFill>
                    <a:blip r:embed="rId9"/>
                    <a:stretch>
                      <a:fillRect/>
                    </a:stretch>
                  </pic:blipFill>
                  <pic:spPr>
                    <a:xfrm>
                      <a:off x="0" y="0"/>
                      <a:ext cx="6858000" cy="1934210"/>
                    </a:xfrm>
                    <a:prstGeom prst="rect">
                      <a:avLst/>
                    </a:prstGeom>
                  </pic:spPr>
                </pic:pic>
              </a:graphicData>
            </a:graphic>
          </wp:inline>
        </w:drawing>
      </w:r>
      <w:r>
        <w:rPr>
          <w:i/>
          <w:color w:val="555555"/>
        </w:rPr>
        <w:br/>
      </w:r>
    </w:p>
    <w:p w14:paraId="5BC80A29" w14:textId="77777777" w:rsidR="00B350BE" w:rsidRDefault="00B350BE">
      <w:pPr>
        <w:spacing w:after="80"/>
      </w:pPr>
    </w:p>
    <w:sectPr w:rsidR="00B350BE" w:rsidSect="00DE693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5413685">
    <w:abstractNumId w:val="8"/>
  </w:num>
  <w:num w:numId="2" w16cid:durableId="271596415">
    <w:abstractNumId w:val="6"/>
  </w:num>
  <w:num w:numId="3" w16cid:durableId="1724869283">
    <w:abstractNumId w:val="5"/>
  </w:num>
  <w:num w:numId="4" w16cid:durableId="707341008">
    <w:abstractNumId w:val="4"/>
  </w:num>
  <w:num w:numId="5" w16cid:durableId="916015635">
    <w:abstractNumId w:val="7"/>
  </w:num>
  <w:num w:numId="6" w16cid:durableId="532421986">
    <w:abstractNumId w:val="3"/>
  </w:num>
  <w:num w:numId="7" w16cid:durableId="346562103">
    <w:abstractNumId w:val="2"/>
  </w:num>
  <w:num w:numId="8" w16cid:durableId="744259138">
    <w:abstractNumId w:val="1"/>
  </w:num>
  <w:num w:numId="9" w16cid:durableId="728574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8C8"/>
    <w:rsid w:val="0015074B"/>
    <w:rsid w:val="0029639D"/>
    <w:rsid w:val="00326F90"/>
    <w:rsid w:val="0051013A"/>
    <w:rsid w:val="00A742DB"/>
    <w:rsid w:val="00AA1D8D"/>
    <w:rsid w:val="00B350BE"/>
    <w:rsid w:val="00B47730"/>
    <w:rsid w:val="00CB0664"/>
    <w:rsid w:val="00DE69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DC78E4"/>
  <w14:defaultImageDpi w14:val="300"/>
  <w15:docId w15:val="{C4F0E3EF-20C2-4C24-A4E6-D3C7E5FE6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Pages>
  <Words>592</Words>
  <Characters>3375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Dhruv Chotalia</cp:lastModifiedBy>
  <cp:revision>2</cp:revision>
  <dcterms:created xsi:type="dcterms:W3CDTF">2013-12-23T23:15:00Z</dcterms:created>
  <dcterms:modified xsi:type="dcterms:W3CDTF">2026-10-24T20:33:00Z</dcterms:modified>
  <cp:category/>
</cp:coreProperties>
</file>