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color w:val="1F497D"/>
          <w:sz w:val="44"/>
        </w:rPr>
        <w:t>Dhruv Chotalia</w:t>
      </w:r>
    </w:p>
    <w:p>
      <w:pPr>
        <w:spacing w:before="0" w:after="80"/>
        <w:jc w:val="center"/>
      </w:pPr>
      <w:hyperlink r:id="rId9">
        <w:r>
          <w:rPr>
            <w:sz w:val="19"/>
            <w:szCs w:val="19"/>
            <w:color w:val="1F497D"/>
            <w:u w:val="single"/>
          </w:rPr>
          <w:t xml:space="preserve">LinkedIn</w:t>
        </w:r>
      </w:hyperlink>
      <w:r>
        <w:rPr>
          <w:color w:val="444444"/>
          <w:sz w:val="19"/>
        </w:rPr>
        <w:t xml:space="preserve">  |  </w:t>
      </w:r>
      <w:hyperlink r:id="rId10">
        <w:r>
          <w:rPr>
            <w:sz w:val="19"/>
            <w:szCs w:val="19"/>
            <w:color w:val="1F497D"/>
            <w:u w:val="single"/>
          </w:rPr>
          <w:t xml:space="preserve">dhruv.chotalia05@gmail.com</w:t>
        </w:r>
      </w:hyperlink>
      <w:r>
        <w:rPr>
          <w:color w:val="444444"/>
          <w:sz w:val="19"/>
        </w:rPr>
        <w:t xml:space="preserve">  |  </w:t>
      </w:r>
      <w:hyperlink r:id="rId11">
        <w:r>
          <w:rPr>
            <w:sz w:val="19"/>
            <w:szCs w:val="19"/>
            <w:color w:val="1F497D"/>
            <w:u w:val="single"/>
          </w:rPr>
          <w:t xml:space="preserve">Portfolio</w:t>
        </w:r>
      </w:hyperlink>
      <w:r>
        <w:rPr>
          <w:color w:val="444444"/>
          <w:sz w:val="19"/>
        </w:rPr>
        <w:t xml:space="preserve">  |  </w:t>
      </w:r>
      <w:hyperlink r:id="rId12">
        <w:r>
          <w:rPr>
            <w:sz w:val="19"/>
            <w:szCs w:val="19"/>
            <w:color w:val="1F497D"/>
            <w:u w:val="single"/>
          </w:rPr>
          <w:t xml:space="preserve">GitHub</w:t>
        </w:r>
      </w:hyperlink>
      <w:r>
        <w:rPr>
          <w:color w:val="444444"/>
          <w:sz w:val="19"/>
        </w:rPr>
        <w:t xml:space="preserve">  |  </w:t>
      </w:r>
      <w:r>
        <w:rPr>
          <w:color w:val="444444"/>
          <w:sz w:val="19"/>
        </w:rPr>
        <w:t>+1 437 662-2972</w:t>
      </w:r>
    </w:p>
    <w:p>
      <w:pPr>
        <w:spacing w:before="128" w:after="20"/>
        <w:pBdr>
          <w:bottom w:val="single" w:sz="6" w:space="1" w:color="1F497D"/>
        </w:pBdr>
      </w:pPr>
      <w:r>
        <w:rPr>
          <w:b/>
          <w:color w:val="1F497D"/>
          <w:sz w:val="21"/>
        </w:rPr>
        <w:t>EDUCATION</w:t>
      </w:r>
    </w:p>
    <w:p>
      <w:pPr>
        <w:spacing w:before="86" w:after="0"/>
        <w:tabs>
          <w:tab w:val="right" w:pos="9360"/>
        </w:tabs>
      </w:pPr>
      <w:r>
        <w:rPr>
          <w:b/>
          <w:sz w:val="20"/>
        </w:rPr>
        <w:t>Seneca Polytechnic</w:t>
      </w:r>
      <w:r>
        <w:rPr>
          <w:sz w:val="20"/>
        </w:rPr>
        <w:t xml:space="preserve"> — Honours Bachelor of Engineering in Software Engineering</w:t>
      </w:r>
      <w:r>
        <w:rPr>
          <w:b/>
          <w:sz w:val="20"/>
        </w:rPr>
        <w:tab/>
        <w:t>Sep. 2023 – May 2027</w:t>
      </w:r>
    </w:p>
    <w:p>
      <w:pPr>
        <w:spacing w:before="0" w:after="20"/>
        <w:tabs>
          <w:tab w:val="right" w:pos="9360"/>
        </w:tabs>
      </w:pPr>
      <w:r>
        <w:rPr>
          <w:i/>
          <w:color w:val="555555"/>
          <w:sz w:val="19"/>
        </w:rPr>
        <w:t>GPA: 3.8 / 4.0  |  President's Honour List – Fall 2024, Winter 2025</w:t>
      </w:r>
      <w:r>
        <w:rPr>
          <w:i/>
          <w:color w:val="555555"/>
          <w:sz w:val="19"/>
        </w:rPr>
        <w:tab/>
        <w:t>Toronto, ON</w:t>
      </w:r>
    </w:p>
    <w:p>
      <w:pPr>
        <w:spacing w:before="128" w:after="20"/>
        <w:pBdr>
          <w:bottom w:val="single" w:sz="6" w:space="1" w:color="1F497D"/>
        </w:pBdr>
      </w:pPr>
      <w:r>
        <w:rPr>
          <w:b/>
          <w:color w:val="1F497D"/>
          <w:sz w:val="21"/>
        </w:rPr>
        <w:t>TECHNICAL SKILLS</w:t>
      </w:r>
    </w:p>
    <w:p>
      <w:pPr>
        <w:spacing w:before="0" w:after="20"/>
        <w:ind w:left="144"/>
      </w:pPr>
      <w:r>
        <w:rPr>
          <w:b/>
          <w:sz w:val="19"/>
        </w:rPr>
        <w:t xml:space="preserve">Languages &amp; Query: </w:t>
      </w:r>
      <w:r>
        <w:rPr>
          <w:sz w:val="19"/>
        </w:rPr>
        <w:t>Python, SQL, T-SQL, C/C++, Java, JavaScript (ES6)</w:t>
      </w:r>
    </w:p>
    <w:p>
      <w:pPr>
        <w:spacing w:before="0" w:after="20"/>
        <w:ind w:left="144"/>
      </w:pPr>
      <w:r>
        <w:rPr>
          <w:b/>
          <w:sz w:val="19"/>
        </w:rPr>
        <w:t xml:space="preserve">Data, ML &amp; AI: </w:t>
      </w:r>
      <w:r>
        <w:rPr>
          <w:sz w:val="19"/>
        </w:rPr>
        <w:t>PySpark, Pandas, Scikit-learn, SHAP, MLflow, Gradient Boosting, DBSCAN, Propensity Score Matching, Claude API</w:t>
      </w:r>
    </w:p>
    <w:p>
      <w:pPr>
        <w:spacing w:before="0" w:after="20"/>
        <w:ind w:left="144"/>
      </w:pPr>
      <w:r>
        <w:rPr>
          <w:b/>
          <w:sz w:val="19"/>
        </w:rPr>
        <w:t xml:space="preserve">Cloud &amp; BI: </w:t>
      </w:r>
      <w:r>
        <w:rPr>
          <w:sz w:val="19"/>
        </w:rPr>
        <w:t>Databricks, Azure Data Factory, Azure ADLS Gen2, Delta Lake, dbt, Power BI (DAX), Excel</w:t>
      </w:r>
    </w:p>
    <w:p>
      <w:pPr>
        <w:spacing w:before="0" w:after="20"/>
        <w:ind w:left="144"/>
      </w:pPr>
      <w:r>
        <w:rPr>
          <w:b/>
          <w:sz w:val="19"/>
        </w:rPr>
        <w:t xml:space="preserve">Databases &amp; Tools: </w:t>
      </w:r>
      <w:r>
        <w:rPr>
          <w:sz w:val="19"/>
        </w:rPr>
        <w:t>PostgreSQL, SQL Server (SSMS), MongoDB, SQLAlchemy, Selenium, GitHub Actions (CI/CD), Docker, PyTest</w:t>
      </w:r>
    </w:p>
    <w:p>
      <w:pPr>
        <w:spacing w:before="128" w:after="20"/>
        <w:pBdr>
          <w:bottom w:val="single" w:sz="6" w:space="1" w:color="1F497D"/>
        </w:pBdr>
      </w:pPr>
      <w:r>
        <w:rPr>
          <w:b/>
          <w:color w:val="1F497D"/>
          <w:sz w:val="21"/>
        </w:rPr>
        <w:t>EXPERIENCE</w:t>
      </w:r>
    </w:p>
    <w:p>
      <w:pPr>
        <w:spacing w:before="86" w:after="0"/>
        <w:tabs>
          <w:tab w:val="right" w:pos="9360"/>
        </w:tabs>
      </w:pPr>
      <w:r>
        <w:rPr>
          <w:b/>
          <w:sz w:val="20"/>
        </w:rPr>
        <w:t>Data Analyst Co-op  –  Ai Financial</w:t>
      </w:r>
      <w:r>
        <w:rPr>
          <w:b/>
          <w:sz w:val="20"/>
        </w:rPr>
        <w:tab/>
        <w:t>May 2026 – Aug. 2026</w:t>
      </w:r>
    </w:p>
    <w:p>
      <w:pPr>
        <w:spacing w:before="0" w:after="20"/>
      </w:pPr>
      <w:r>
        <w:rPr>
          <w:i/>
          <w:color w:val="555555"/>
          <w:sz w:val="19"/>
        </w:rPr>
        <w:t>Toronto, ON</w:t>
      </w:r>
    </w:p>
    <w:p>
      <w:pPr>
        <w:pStyle w:val="ListBullet"/>
        <w:spacing w:before="0" w:after="20"/>
        <w:ind w:left="288"/>
      </w:pPr>
      <w:r>
        <w:rPr>
          <w:sz w:val="19"/>
        </w:rPr>
        <w:t>Automated client data extraction from 5 insurer and custodian portals (Python, Selenium, IMAP-based 2FA interception) into a staging-to-core SQL Server ETL with PK/FK constraints, multi-stage date validation and audit logging, replacing unvalidated CSV exports with a single source of truth.</w:t>
      </w:r>
    </w:p>
    <w:p>
      <w:pPr>
        <w:pStyle w:val="ListBullet"/>
        <w:spacing w:before="0" w:after="20"/>
        <w:ind w:left="288"/>
      </w:pPr>
      <w:r>
        <w:rPr>
          <w:sz w:val="19"/>
        </w:rPr>
        <w:t>Built the Power BI reporting layer (DirectQuery views, DAX measures) on the team's SQL Server job-monitoring platform, surfacing failure trends across 5 portals; co-developed run-level logging and automated retries that cut manual intervention on recurring failures by ~25%.</w:t>
      </w:r>
    </w:p>
    <w:p>
      <w:pPr>
        <w:pStyle w:val="ListBullet"/>
        <w:spacing w:before="0" w:after="20"/>
        <w:ind w:left="288"/>
      </w:pPr>
      <w:r>
        <w:rPr>
          <w:sz w:val="19"/>
        </w:rPr>
        <w:t>Built a Python/MongoDB AutoFill document extractor with proactive web-locator health checks, reducing manual client data entry 75% (20 min → 5 min per document).</w:t>
      </w:r>
    </w:p>
    <w:p>
      <w:pPr>
        <w:spacing w:before="86" w:after="0"/>
        <w:tabs>
          <w:tab w:val="right" w:pos="9360"/>
        </w:tabs>
      </w:pPr>
      <w:r>
        <w:rPr>
          <w:b/>
          <w:sz w:val="20"/>
        </w:rPr>
        <w:t>Technical Product Strategist  –  EverSure</w:t>
      </w:r>
      <w:r>
        <w:rPr>
          <w:b/>
          <w:sz w:val="20"/>
        </w:rPr>
        <w:tab/>
        <w:t>May 2025 – Aug. 2025</w:t>
      </w:r>
    </w:p>
    <w:p>
      <w:pPr>
        <w:spacing w:before="0" w:after="20"/>
      </w:pPr>
      <w:r>
        <w:rPr>
          <w:i/>
          <w:color w:val="555555"/>
          <w:sz w:val="19"/>
        </w:rPr>
        <w:t>EWIL Startup Incubator – Seneca HELIX, Toronto, ON</w:t>
      </w:r>
    </w:p>
    <w:p>
      <w:pPr>
        <w:pStyle w:val="ListBullet"/>
        <w:spacing w:before="0" w:after="20"/>
        <w:ind w:left="288"/>
      </w:pPr>
      <w:r>
        <w:rPr>
          <w:sz w:val="19"/>
        </w:rPr>
        <w:t>Led end-to-end technical strategy for an AI-powered senior care platform; defined product requirements, designed secure backend services and data models, and coordinated cross-functional delivery across engineering, design, and stakeholder review.</w:t>
      </w:r>
    </w:p>
    <w:p>
      <w:pPr>
        <w:spacing w:before="128" w:after="20"/>
        <w:pBdr>
          <w:bottom w:val="single" w:sz="6" w:space="1" w:color="1F497D"/>
        </w:pBdr>
      </w:pPr>
      <w:r>
        <w:rPr>
          <w:b/>
          <w:color w:val="1F497D"/>
          <w:sz w:val="21"/>
        </w:rPr>
        <w:t>PROJECTS</w:t>
      </w:r>
    </w:p>
    <w:p>
      <w:pPr>
        <w:spacing w:before="86" w:after="0"/>
        <w:tabs>
          <w:tab w:val="right" w:pos="9360"/>
        </w:tabs>
      </w:pPr>
      <w:r>
        <w:rPr>
          <w:b/>
          <w:sz w:val="20"/>
        </w:rPr>
        <w:t>Fraud Loss Analytics Platform</w:t>
      </w:r>
      <w:r>
        <w:rPr>
          <w:sz w:val="20"/>
        </w:rPr>
        <w:t xml:space="preserve">  |  GitHub</w:t>
      </w:r>
      <w:r>
        <w:rPr>
          <w:b/>
          <w:sz w:val="20"/>
        </w:rPr>
        <w:tab/>
      </w:r>
    </w:p>
    <w:p>
      <w:pPr>
        <w:spacing w:before="0" w:after="20"/>
      </w:pPr>
      <w:r>
        <w:rPr>
          <w:i/>
          <w:color w:val="555555"/>
          <w:sz w:val="19"/>
        </w:rPr>
        <w:t>PySpark · Databricks · Azure Data Factory · Delta Lake · Power BI · dbt · MLflow · SHAP · Claude API</w:t>
      </w:r>
    </w:p>
    <w:p>
      <w:pPr>
        <w:pStyle w:val="ListBullet"/>
        <w:spacing w:before="0" w:after="20"/>
        <w:ind w:left="288"/>
      </w:pPr>
      <w:r>
        <w:rPr>
          <w:sz w:val="19"/>
        </w:rPr>
        <w:t>Built an end-to-end fraud analytics pipeline on 1.85M synthetic card transactions ($5.12M fraud losses) using bronze/silver/gold Delta Lake medallion architecture; source reconciliation and 14 dbt data-quality tests gating CI/CD; ADF orchestration pipeline design; Power BI dashboard of fraud losses and fraud rates.</w:t>
      </w:r>
    </w:p>
    <w:p>
      <w:pPr>
        <w:pStyle w:val="ListBullet"/>
        <w:spacing w:before="0" w:after="20"/>
        <w:ind w:left="288"/>
      </w:pPr>
      <w:r>
        <w:rPr>
          <w:sz w:val="19"/>
        </w:rPr>
        <w:t>Trained PySpark GBTClassifier (AUC-ROC 0.9952, recall 92.3%) with cost-based threshold optimisation (FN×$530 + FP×$25, saving $23K vs. default); SHAP feature attribution; MLflow champion/challenger tracking designed around OSFI E-23 model-risk principles.</w:t>
      </w:r>
    </w:p>
    <w:p>
      <w:pPr>
        <w:pStyle w:val="ListBullet"/>
        <w:spacing w:before="0" w:after="20"/>
        <w:ind w:left="288"/>
      </w:pPr>
      <w:r>
        <w:rPr>
          <w:sz w:val="19"/>
        </w:rPr>
        <w:t>Found dormant cardholders (RFM segmentation) carried 3× the portfolio fraud rate; propensity score matching estimated night-time transactions raise fraud probability by 2.1 pp (95% CI excludes zero); built an LLM fraud-analyst assistant (Claude API) generating weekly briefs and transaction explanations.</w:t>
      </w:r>
    </w:p>
    <w:p>
      <w:pPr>
        <w:spacing w:before="86" w:after="0"/>
        <w:tabs>
          <w:tab w:val="right" w:pos="9360"/>
        </w:tabs>
      </w:pPr>
      <w:r>
        <w:rPr>
          <w:b/>
          <w:sz w:val="20"/>
        </w:rPr>
        <w:t>Predictive Modeling &amp; Geospatial Clustering for Public Safety</w:t>
      </w:r>
      <w:r>
        <w:rPr>
          <w:sz w:val="20"/>
        </w:rPr>
        <w:t xml:space="preserve">  |  GitHub</w:t>
      </w:r>
      <w:r>
        <w:rPr>
          <w:b/>
          <w:sz w:val="20"/>
        </w:rPr>
        <w:tab/>
      </w:r>
    </w:p>
    <w:p>
      <w:pPr>
        <w:spacing w:before="0" w:after="20"/>
      </w:pPr>
      <w:r>
        <w:rPr>
          <w:i/>
          <w:color w:val="555555"/>
          <w:sz w:val="19"/>
        </w:rPr>
        <w:t>Python · Scikit-learn · Pandas · NumPy · Statistical Analysis · DBSCAN · Apriori · MLxtend</w:t>
      </w:r>
    </w:p>
    <w:p>
      <w:pPr>
        <w:pStyle w:val="ListBullet"/>
        <w:spacing w:before="0" w:after="20"/>
        <w:ind w:left="288"/>
      </w:pPr>
      <w:r>
        <w:rPr>
          <w:sz w:val="19"/>
        </w:rPr>
        <w:t>Designed an end-to-end ETL pipeline with data quality validation handling missing values and GPS errors; applied feature engineering (lat/lon → Geo-Regions, cyclical temporal encoding) to prepare structured data for statistical analysis and downstream predictive modeling.</w:t>
      </w:r>
    </w:p>
    <w:p>
      <w:pPr>
        <w:pStyle w:val="ListBullet"/>
        <w:spacing w:before="0" w:after="20"/>
        <w:ind w:left="288"/>
      </w:pPr>
      <w:r>
        <w:rPr>
          <w:sz w:val="19"/>
        </w:rPr>
        <w:t>Applied DBSCAN clustering (ε=0.04) to isolate high-risk intersections and transit hubs; Apriori association rule mining produced a Crime Risk Matrix (Lift &gt; 2.0) linking property types to distinct crime profiles — enabling data-driven public safety resource allocation.</w:t>
      </w:r>
    </w:p>
    <w:p>
      <w:pPr>
        <w:spacing w:before="128" w:after="20"/>
        <w:pBdr>
          <w:bottom w:val="single" w:sz="6" w:space="1" w:color="1F497D"/>
        </w:pBdr>
      </w:pPr>
      <w:r>
        <w:rPr>
          <w:b/>
          <w:color w:val="1F497D"/>
          <w:sz w:val="21"/>
        </w:rPr>
        <w:t>VOLUNTEER</w:t>
      </w:r>
    </w:p>
    <w:p>
      <w:pPr>
        <w:spacing w:before="86" w:after="0"/>
        <w:tabs>
          <w:tab w:val="right" w:pos="9360"/>
        </w:tabs>
      </w:pPr>
      <w:r>
        <w:rPr>
          <w:b/>
          <w:sz w:val="20"/>
        </w:rPr>
        <w:t>VP Assistant / Director  –  Seneca Engineering Students Society (SESS)</w:t>
      </w:r>
      <w:r>
        <w:rPr>
          <w:b/>
          <w:sz w:val="20"/>
        </w:rPr>
        <w:tab/>
        <w:t>May 2024 – Present</w:t>
      </w:r>
    </w:p>
    <w:p>
      <w:pPr>
        <w:pStyle w:val="ListBullet"/>
        <w:spacing w:before="0" w:after="20"/>
        <w:ind w:left="288"/>
      </w:pPr>
      <w:r>
        <w:rPr>
          <w:sz w:val="19"/>
        </w:rPr>
        <w:t>Events Coordinator and External Relations Coordinator; managed social media, external communications, and VP administrative support.</w:t>
      </w:r>
    </w:p>
    <w:sectPr w:rsidR="00FC693F" w:rsidRPr="0006063C" w:rsidSect="00034616">
      <w:pgSz w:w="12240" w:h="15840"/>
      <w:pgMar w:top="518" w:right="720" w:bottom="51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dhruv-chotalia-263622282/" TargetMode="External"/><Relationship Id="rId10" Type="http://schemas.openxmlformats.org/officeDocument/2006/relationships/hyperlink" Target="mailto:dhruv.chotalia05@gmail.com" TargetMode="External"/><Relationship Id="rId11" Type="http://schemas.openxmlformats.org/officeDocument/2006/relationships/hyperlink" Target="https://dhruv-chotalia-portfolio.netlify.app/" TargetMode="External"/><Relationship Id="rId12" Type="http://schemas.openxmlformats.org/officeDocument/2006/relationships/hyperlink" Target="https://github.com/DhruvChotal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