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</w:rPr>
      </w:pPr>
      <w:r>
        <w:rPr>
          <w:b/>
        </w:rPr>
        <w:t>YoloV5 VS YoloR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Dataset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 xml:space="preserve">Source </w:t>
      </w:r>
      <w:hyperlink r:id="rId2">
        <w:r>
          <w:rPr>
            <w:color w:val="1155CC"/>
            <w:u w:val="single"/>
          </w:rPr>
          <w:t>https://public.roboflow.com/object-detection/bccd/</w:t>
        </w:r>
      </w:hyperlink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Class Distribution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  <w:drawing>
          <wp:inline distT="0" distB="0" distL="0" distR="0">
            <wp:extent cx="2981325" cy="299656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8002" b="47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Basic Hyperparameters: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Momentum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0.937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weight_decay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0.0005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Performance: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YoloV5 Small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YoloR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[.5 IOU]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[.5:.95 IOU]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Consumed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 Hr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Hr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Better performance on test dataset though having almost same MAP as YoloR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Inference has more traits of False Negatives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.roboflow.com/object-detection/bccd/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68</Words>
  <Characters>394</Characters>
  <CharactersWithSpaces>427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