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0F2A3D"/>
          <w:sz w:val="24"/>
        </w:rPr>
        <w:t>SRM INSTITUTE OF SCIENCE AND TECHNOLOGY, KATTANKULATHUR</w:t>
      </w:r>
    </w:p>
    <w:p>
      <w:pPr>
        <w:spacing w:after="160"/>
        <w:jc w:val="center"/>
      </w:pPr>
      <w:r>
        <w:rPr>
          <w:b w:val="0"/>
          <w:i w:val="0"/>
          <w:color w:val="5B6B77"/>
          <w:sz w:val="21"/>
        </w:rPr>
        <w:t>SCHOOL OF COMPUTING  |  Major Project 2026-27  |  Zeroth Review</w:t>
      </w:r>
    </w:p>
    <w:p>
      <w:pPr>
        <w:spacing w:after="40"/>
        <w:jc w:val="center"/>
      </w:pPr>
      <w:r>
        <w:rPr>
          <w:rFonts w:ascii="Cambria" w:hAnsi="Cambria"/>
          <w:b/>
          <w:i w:val="0"/>
          <w:color w:val="0F2A3D"/>
          <w:sz w:val="44"/>
        </w:rPr>
        <w:t>Literature Survey</w:t>
      </w:r>
    </w:p>
    <w:p>
      <w:pPr>
        <w:spacing w:after="120"/>
        <w:jc w:val="center"/>
      </w:pPr>
      <w:r>
        <w:rPr>
          <w:b w:val="0"/>
          <w:i/>
          <w:color w:val="1B7F8C"/>
          <w:sz w:val="26"/>
        </w:rPr>
        <w:t>Beyond CET-ViT: A Capacity-Controlled Study of Learned Token Grouping in Vision Transformers</w:t>
      </w:r>
    </w:p>
    <w:p>
      <w:pPr>
        <w:spacing w:after="200"/>
        <w:jc w:val="center"/>
      </w:pPr>
      <w:r>
        <w:rPr>
          <w:b w:val="0"/>
          <w:i w:val="0"/>
          <w:sz w:val="20"/>
        </w:rPr>
        <w:t>Team: Dhruv Jyoti Das, Raghav Sharma   |   Guide: Dr. Eliazer M, Associate Professor, Department of Computing Technologies</w:t>
      </w:r>
    </w:p>
    <w:p>
      <w:pPr>
        <w:pStyle w:val="Heading2"/>
      </w:pPr>
      <w:r>
        <w:t>1. Scope and method</w:t>
      </w:r>
    </w:p>
    <w:p>
      <w:r>
        <w:rPr>
          <w:b w:val="0"/>
          <w:i w:val="0"/>
          <w:sz w:val="20"/>
        </w:rPr>
        <w:t>The survey supports one question: what does learned token grouping in a vision transformer contribute beyond added capacity, and how should that be tested fairly? It covers seven themes: hierarchical vision transformers, token reduction, learned grouping and object-centric methods, emergent-region evaluation, causal-emergence theory (the original motivation of the minor project), evaluation rigour, and our own prior work.</w:t>
      </w:r>
    </w:p>
    <w:p>
      <w:r>
        <w:rPr>
          <w:b w:val="0"/>
          <w:i w:val="0"/>
          <w:sz w:val="20"/>
        </w:rPr>
        <w:t>Sources. The reference list of the minor-project paper (CET-ViT, IEEE ICSL-DSGA 2026), the compute-matched audit of that work, and a search of the Lacuna ML research index for the works added since (TokenLearner, PatchMerger, Registers, DINOSAUR, ImageNet-S and the evaluation-rigour papers). Title, year and venue of the added works were checked against that index; author lists and page numbers should be re-checked against the publisher record before the final report. Entries 23 and 24 are our own work; entry 24 is an unpublished draft.</w:t>
      </w:r>
    </w:p>
    <w:p>
      <w:r>
        <w:rPr>
          <w:b w:val="0"/>
          <w:i/>
          <w:color w:val="5B6B77"/>
          <w:sz w:val="20"/>
        </w:rPr>
        <w:t>Reading the table. 'Limitations / research gap' states what is missing relative to this project, not a general criticism of the cited work.</w:t>
      </w:r>
    </w:p>
    <w:p>
      <w:pPr>
        <w:pStyle w:val="Heading2"/>
      </w:pPr>
      <w:r>
        <w:t>2. Literature survey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DD5"/>
          <w:left w:val="single" w:sz="4" w:space="0" w:color="BFCDD5"/>
          <w:bottom w:val="single" w:sz="4" w:space="0" w:color="BFCDD5"/>
          <w:right w:val="single" w:sz="4" w:space="0" w:color="BFCDD5"/>
          <w:insideH w:val="single" w:sz="4" w:space="0" w:color="BFCDD5"/>
          <w:insideV w:val="single" w:sz="4" w:space="0" w:color="BFCDD5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566"/>
        <w:gridCol w:w="2494"/>
        <w:gridCol w:w="3174"/>
        <w:gridCol w:w="2040"/>
        <w:gridCol w:w="2948"/>
        <w:gridCol w:w="3911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S.No</w:t>
            </w:r>
          </w:p>
        </w:tc>
        <w:tc>
          <w:tcPr>
            <w:tcW w:type="dxa" w:w="2494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Reference (venue, year)</w:t>
            </w:r>
          </w:p>
        </w:tc>
        <w:tc>
          <w:tcPr>
            <w:tcW w:type="dxa" w:w="3175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Technique / problem addressed</w:t>
            </w:r>
          </w:p>
        </w:tc>
        <w:tc>
          <w:tcPr>
            <w:tcW w:type="dxa" w:w="2041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Dataset / evidence</w:t>
            </w:r>
          </w:p>
        </w:tc>
        <w:tc>
          <w:tcPr>
            <w:tcW w:type="dxa" w:w="2948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Key findings</w:t>
            </w:r>
          </w:p>
        </w:tc>
        <w:tc>
          <w:tcPr>
            <w:tcW w:type="dxa" w:w="3912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Limitations / research gap for this project</w:t>
            </w:r>
          </w:p>
        </w:tc>
      </w:tr>
      <w:tr>
        <w:trPr>
          <w:cantSplit w:val="true"/>
        </w:trPr>
        <w:tc>
          <w:tcPr>
            <w:tcW w:type="dxa" w:w="3912"/>
            <w:gridSpan w:val="6"/>
            <w:vAlign w:val="center"/>
            <w:shd w:val="clear" w:color="auto" w:fill="D3E3E9"/>
          </w:tcPr>
          <w:p>
            <w:pPr>
              <w:keepNext/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HIERARCHICAL VITS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Dosovitskiy et al., ViT (ICLR 2021)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Pure transformer on a sequence of image patches; single-resolution, non-hierarchical.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 and larger pre-training sets.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Matches or exceeds CNNs when pre-trained on large data.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Needs large pre-training; no multi-scale structure; weak in the small-data, from-scratch regime our study targets.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Liu et al., Swin (ICCV 2021)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Shifted-window attention plus patch merging gives a fixed, position-based hierarchy.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 classification, COCO, ADE20K.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Strong accuracy-efficiency trade-off; de-facto hierarchical backbone.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Hierarchy is hand-designed and identical for every image. In our compute-matched audit a Swin sized to the branch's MACs scored above the branch at the locked learning rate.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Wang et al., PVT (ICCV 2021)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Convolution-free pyramid with progressively shrinking token grids and spatial-reduction attention.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ImageNet, COCO, ADE20K.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Pyramid ViT suits dense prediction.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Fixed spatial pyramid; no learned, content-dependent grouping of tokens.</w:t>
            </w:r>
          </w:p>
        </w:tc>
      </w:tr>
      <w:tr>
        <w:trPr>
          <w:cantSplit w:val="true"/>
        </w:trPr>
        <w:tc>
          <w:tcPr>
            <w:tcW w:type="dxa" w:w="3912"/>
            <w:gridSpan w:val="6"/>
            <w:vAlign w:val="center"/>
            <w:shd w:val="clear" w:color="auto" w:fill="D3E3E9"/>
          </w:tcPr>
          <w:p>
            <w:pPr>
              <w:keepNext/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TOKEN REDUCTION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Rao et al., DynamicViT (NeurIPS 2021)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Lightweight prediction modules progressively prune uninformative tokens.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ImageNet-1k, pretrained backbones.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Large FLOP savings at small accuracy loss.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Targets inference efficiency of a pretrained backbone and discards tokens irreversibly; not a representational component trained from scratch.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Bolya et al., ToMe (ICLR 2023)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Bipartite soft matching merges similar tokens between blocks; training-free.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ImageNet-1k, video and audio models.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Roughly doubles throughput on pretrained ViTs with small accuracy loss.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Designed for pretrained, inference-time use. Our from-scratch ToMe baseline (63.01%, one seed, different recipe) is not a fair verdict on the method.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Marin et al., Token Pooling (WACV 2023)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Clustering-based (non-learned) down-sampling of tokens between layers.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ImageNet-1k.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Better accuracy-computation trade-off than uniform pooling.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Clustering is not trained end-to-end; tokens are fused irreversibly; no comparison with capacity controls.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Wang &amp; Yang, LTM-Transformer (IEEE TPAMI 2025)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Learnable token merging guided by an information-bottleneck objective.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ImageNet-1k.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Learned merging improves the accuracy-efficiency trade-off.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No public implementation we could use: two re-implementation attempts (about 100 GPU-hours) diverged, so it remains an unverified baseline.</w:t>
            </w:r>
          </w:p>
        </w:tc>
      </w:tr>
      <w:tr>
        <w:trPr>
          <w:cantSplit w:val="true"/>
        </w:trPr>
        <w:tc>
          <w:tcPr>
            <w:tcW w:type="dxa" w:w="3912"/>
            <w:gridSpan w:val="6"/>
            <w:vAlign w:val="center"/>
            <w:shd w:val="clear" w:color="auto" w:fill="D3E3E9"/>
          </w:tcPr>
          <w:p>
            <w:pPr>
              <w:keepNext/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LEARNED GROUPING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Ryoo et al., TokenLearner (NeurIPS 2021)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Spatial-attention modules learn a small set of tokens (for example 8) from the full token map.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ImageNet, video benchmarks.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Few learned tokens cut compute with competitive accuracy.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Closest prior art to a learned slot bottleneck; not compared in the minor project. Its benefit is not separated from simply adding or removing capacity.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Renggli et al., PatchMerger (arXiv 2022)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PatchMerger: a learned module merges tokens into a smaller set between two layers.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Large-scale image classification and transfer.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Reduces compute with little accuracy loss.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Compute-reduction framing; not evaluated against equal-capacity controls or for region quality.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Locatello et al., Slot Attention (NeurIPS 2020)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Iterative competitive attention binds inputs to a set of slots without segmentation labels.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Mostly synthetic multi-object scenes.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Object-centric slots emerge from unsupervised training on simple scenes.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Iterative refinement is costly; shown mainly on synthetic scenes. Whether one feed-forward top-k assignment trained from class labels is enough is unexamined.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Xu et al., GroupViT (CVPR 2022)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Hierarchical grouping of patch tokens into group tokens with Gumbel-softmax assignment.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Large image-text pairs; zero-shot segmentation.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Segmentation emerges from text supervision alone.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Requires large-scale image-text pre-training; our setting (labels only, small data) is untested for this mechanism.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Seitzer et al., DINOSAUR (ICLR 2023)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Slot-based decoder reconstructs self-supervised features instead of pixels.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COCO, PASCAL VOC.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Object-centric learning scales to real images with good mask metrics.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Depends on a pretrained self-supervised encoder; gives mask metrics we can borrow, but not for classification-trained, from-scratch hierarchies.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Jaegle et al., Perceiver (ICML 2021)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Cross-attention from a large input array into a small latent bottleneck.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ImageNet, audio, point clouds.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Modality-agnostic model with cost linear in input size.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Latents are input-independent and weakly inductive; no hierarchy or locality, and no controlled comparison of learned routing versus plain latents.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Darcet et al., Registers (ICLR 2024)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Extra learnable, input-independent tokens appended to a ViT absorb high-norm artifact tokens.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DeiT-III, OpenCLIP, DINOv2 backbones.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Registers remove artifacts and improve dense features.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Shows extra input-independent tokens alone help, so any benefit of learned grouping must be separated from added tokens. This is the central control missing from the minor project.</w:t>
            </w:r>
          </w:p>
        </w:tc>
      </w:tr>
      <w:tr>
        <w:trPr>
          <w:cantSplit w:val="true"/>
        </w:trPr>
        <w:tc>
          <w:tcPr>
            <w:tcW w:type="dxa" w:w="3912"/>
            <w:gridSpan w:val="6"/>
            <w:vAlign w:val="center"/>
            <w:shd w:val="clear" w:color="auto" w:fill="D3E3E9"/>
          </w:tcPr>
          <w:p>
            <w:pPr>
              <w:keepNext/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EMERGENT REGIONS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Caron et al., DINO (ICCV 2021)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Self-distillation; ViT attention maps expose object layout without labels.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ImageNet; DAVIS video segmentation.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Semantic layout emerges in self-supervised ViT attention.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Reference point for 'emergent regions', but our own region figures are qualitative only and not scored against masks.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Gao et al., ImageNet-S (IEEE TPAMI 2023)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ImageNet-scale benchmark with pixel-level masks (ImageNet-S) for evaluating unsupervised segmentation.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ImageNet-1k with annotated mask subsets.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Provides mask-level evaluation at ImageNet scale.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Gives the mask protocol for RO4, but ImageNet-scale evaluation is compute-heavy; a class-subset protocol must be fixed in advance.</w:t>
            </w:r>
          </w:p>
        </w:tc>
      </w:tr>
      <w:tr>
        <w:trPr>
          <w:cantSplit w:val="true"/>
        </w:trPr>
        <w:tc>
          <w:tcPr>
            <w:tcW w:type="dxa" w:w="3912"/>
            <w:gridSpan w:val="6"/>
            <w:vAlign w:val="center"/>
            <w:shd w:val="clear" w:color="auto" w:fill="D3E3E9"/>
          </w:tcPr>
          <w:p>
            <w:pPr>
              <w:keepNext/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CAUSAL EMERGENCE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Hoel et al., Causal emergence (PNAS 2013)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Effective information (EI) of a macro-scale description can exceed that of the micro-scale.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Discrete Markov systems.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Defines causal emergence formally.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No faithful, scalable operationalisation inside a vision transformer exists; our minor project's loss did not compute EI and that framing was withdrawn.</w:t>
            </w:r>
          </w:p>
        </w:tc>
      </w:tr>
      <w:tr>
        <w:trPr>
          <w:cantSplit w:val="true"/>
        </w:trPr>
        <w:tc>
          <w:tcPr>
            <w:tcW w:type="dxa" w:w="3912"/>
            <w:gridSpan w:val="6"/>
            <w:vAlign w:val="center"/>
            <w:shd w:val="clear" w:color="auto" w:fill="D3E3E9"/>
          </w:tcPr>
          <w:p>
            <w:pPr>
              <w:keepNext/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EVALUATION RIGOUR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Steiner et al., How to train your ViT? (TMLR 2022)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Large study of augmentation, regularisation and compute for ViT training.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ImageNet-21k and ImageNet-1k.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Training recipe changes ViT results as much as many architectural changes.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Implies that one untuned shared recipe can favour any architecture; the minor project tuned neither baseline nor control.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Wightman et al., ResNet strikes back (arXiv 2021)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A modern training recipe is applied to a plain ResNet-50.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ImageNet-1k.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A well-trained plain ResNet-50 is competitive with newer architectures reported under older recipes.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Architecture claims are confounded with recipe; every comparison needs per-arm tuning.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20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Lucic et al., Are GANs created equal? (NeurIPS 2018)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Large-scale, equal-budget hyper-parameter search across GAN variants.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Several image data sets.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Claimed differences largely vanish under equal tuning budgets and repeated runs.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Direct precedent for our compute- and tuning-matched design; no equivalent study exists for token-grouping ViTs.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21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Musgrave et al., Metric learning reality check (ECCV 2020)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Re-evaluates metric-learning methods under a fair, uniform protocol.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Image retrieval benchmarks.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Reported improvements shrink or vanish under fair comparison.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Same failure pattern (untuned baselines, weak protocols) likely applies to token-grouping claims; needs testing.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22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Bouthillier et al., Variance in ML benchmarks (MLSys 2021)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Quantifies variance from data order, initialisation and tuning; recommends randomising several sources.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Several tasks and models.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Single-run comparisons can mislead; multiple seeds and sources of variation are needed.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Most minor-project baselines were single-seed; sweeps used one seed (standard error about 0.6 points).</w:t>
            </w:r>
          </w:p>
        </w:tc>
      </w:tr>
      <w:tr>
        <w:trPr>
          <w:cantSplit w:val="true"/>
        </w:trPr>
        <w:tc>
          <w:tcPr>
            <w:tcW w:type="dxa" w:w="3912"/>
            <w:gridSpan w:val="6"/>
            <w:vAlign w:val="center"/>
            <w:shd w:val="clear" w:color="auto" w:fill="D3E3E9"/>
          </w:tcPr>
          <w:p>
            <w:pPr>
              <w:keepNext/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OWN PRIOR WORK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Das, Sharma &amp; Eliazer M, CET-ViT (IEEE ICSL-DSGA 2026)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Hierarchical ViT with top-3 sparse routing of 256 tokens into 32 macro-slots (V-CEO) and cross-scale attention.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CIFAR-100, Tiny-ImageNet-200, from scratch.</w:t>
            </w:r>
          </w:p>
        </w:tc>
        <w:tc>
          <w:tcPr>
            <w:tcW w:type="dxa" w:w="294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Reported 76.05 +/- 0.09% on CIFAR-100 (3 seeds) vs 72.14% Swin; +0.92 over Swin on Tiny-ImageNet.</w:t>
            </w:r>
          </w:p>
        </w:tc>
        <w:tc>
          <w:tcPr>
            <w:tcW w:type="dxa" w:w="391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Single-seed baselines, no capacity-matched control, best-epoch selection on the test split, no mask-level region evaluation, no scale beyond 64x64.</w:t>
            </w:r>
          </w:p>
        </w:tc>
      </w:tr>
      <w:tr>
        <w:trPr>
          <w:cantSplit w:val="true"/>
        </w:trPr>
        <w:tc>
          <w:tcPr>
            <w:tcW w:type="dxa" w:w="567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  <w:tc>
          <w:tcPr>
            <w:tcW w:type="dxa" w:w="2494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0F2A3D"/>
                <w:sz w:val="17"/>
              </w:rPr>
              <w:t>Das, Compute-matched audit (private draft v13, 2026)</w:t>
            </w:r>
          </w:p>
        </w:tc>
        <w:tc>
          <w:tcPr>
            <w:tcW w:type="dxa" w:w="3175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237 runs, matched no-branch control G, MAC-matched Swins, per-arm LR sweep, committed analysis plans.</w:t>
            </w:r>
          </w:p>
        </w:tc>
        <w:tc>
          <w:tcPr>
            <w:tcW w:type="dxa" w:w="2041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CIFAR-100 and Tiny-ImageNet (5 to 8 seeds per cell).</w:t>
            </w:r>
          </w:p>
        </w:tc>
        <w:tc>
          <w:tcPr>
            <w:tcW w:type="dxa" w:w="2948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Branch below control at the locked LR; sign at selected LRs depends on rate and data set; no robust advantage over a plain Swin.</w:t>
            </w:r>
          </w:p>
        </w:tc>
        <w:tc>
          <w:tcPr>
            <w:tcW w:type="dxa" w:w="3912"/>
            <w:vAlign w:val="top"/>
            <w:shd w:val="clear" w:color="auto" w:fill="F5F9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7"/>
              </w:rPr>
              <w:t>One-seed 4-rate sweep; one control placement; fixed routers not tuned; low-resolution data only; no OSF registration.</w:t>
            </w:r>
          </w:p>
        </w:tc>
      </w:tr>
    </w:tbl>
    <w:p>
      <w:r>
        <w:br w:type="page"/>
      </w:r>
    </w:p>
    <w:p>
      <w:pPr>
        <w:pStyle w:val="Heading2"/>
      </w:pPr>
      <w:r>
        <w:t>3. Limitations identified from the literature survey (research gaps)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DD5"/>
          <w:left w:val="single" w:sz="4" w:space="0" w:color="BFCDD5"/>
          <w:bottom w:val="single" w:sz="4" w:space="0" w:color="BFCDD5"/>
          <w:right w:val="single" w:sz="4" w:space="0" w:color="BFCDD5"/>
          <w:insideH w:val="single" w:sz="4" w:space="0" w:color="BFCDD5"/>
          <w:insideV w:val="single" w:sz="4" w:space="0" w:color="BFCDD5"/>
        </w:tblBorders>
        <w:tblCellMar>
          <w:top w:w="50" w:type="dxa"/>
          <w:left w:w="80" w:type="dxa"/>
          <w:bottom w:w="50" w:type="dxa"/>
          <w:right w:w="80" w:type="dxa"/>
        </w:tblCellMar>
        <w:tblLayout w:type="fixed"/>
      </w:tblPr>
      <w:tblGrid>
        <w:gridCol w:w="793"/>
        <w:gridCol w:w="3401"/>
        <w:gridCol w:w="8787"/>
        <w:gridCol w:w="1927"/>
      </w:tblGrid>
      <w:tr>
        <w:trPr>
          <w:tblHeader w:val="true"/>
        </w:trPr>
        <w:tc>
          <w:tcPr>
            <w:tcW w:type="dxa" w:w="794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3402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9"/>
              </w:rPr>
              <w:t>Limitation identified</w:t>
            </w:r>
          </w:p>
        </w:tc>
        <w:tc>
          <w:tcPr>
            <w:tcW w:type="dxa" w:w="8787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9"/>
              </w:rPr>
              <w:t>Evidence from the survey</w:t>
            </w:r>
          </w:p>
        </w:tc>
        <w:tc>
          <w:tcPr>
            <w:tcW w:type="dxa" w:w="1928"/>
            <w:vAlign w:val="center"/>
            <w:shd w:val="clear" w:color="auto" w:fill="0F2A3D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9"/>
              </w:rPr>
              <w:t>Addressed by</w:t>
            </w:r>
          </w:p>
        </w:tc>
      </w:tr>
      <w:tr>
        <w:trPr>
          <w:cantSplit w:val="true"/>
        </w:trPr>
        <w:tc>
          <w:tcPr>
            <w:tcW w:type="dxa" w:w="794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/>
                <w:i w:val="0"/>
                <w:sz w:val="19"/>
              </w:rPr>
              <w:t>G1</w:t>
            </w:r>
          </w:p>
        </w:tc>
        <w:tc>
          <w:tcPr>
            <w:tcW w:type="dxa" w:w="3402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No capacity-controlled test of learned grouping</w:t>
            </w:r>
          </w:p>
        </w:tc>
        <w:tc>
          <w:tcPr>
            <w:tcW w:type="dxa" w:w="8787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Registers (Darcet et al.) show extra input-independent tokens alone help; none of ToMe, DynamicViT, Token Pooling, TokenLearner or PatchMerger tests grouping against such a control.</w:t>
            </w:r>
          </w:p>
        </w:tc>
        <w:tc>
          <w:tcPr>
            <w:tcW w:type="dxa" w:w="1928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RO2</w:t>
            </w:r>
          </w:p>
        </w:tc>
      </w:tr>
      <w:tr>
        <w:trPr>
          <w:cantSplit w:val="true"/>
        </w:trPr>
        <w:tc>
          <w:tcPr>
            <w:tcW w:type="dxa" w:w="7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sz w:val="19"/>
              </w:rPr>
              <w:t>G2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Token-reduction work targets inference on pretrained backbones</w:t>
            </w:r>
          </w:p>
        </w:tc>
        <w:tc>
          <w:tcPr>
            <w:tcW w:type="dxa" w:w="878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ToMe, DynamicViT and Token Pooling are not representation components trained from scratch in the small-image regime.</w:t>
            </w:r>
          </w:p>
        </w:tc>
        <w:tc>
          <w:tcPr>
            <w:tcW w:type="dxa" w:w="192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RO2, RO3</w:t>
            </w:r>
          </w:p>
        </w:tc>
      </w:tr>
      <w:tr>
        <w:trPr>
          <w:cantSplit w:val="true"/>
        </w:trPr>
        <w:tc>
          <w:tcPr>
            <w:tcW w:type="dxa" w:w="794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/>
                <w:i w:val="0"/>
                <w:sz w:val="19"/>
              </w:rPr>
              <w:t>G3</w:t>
            </w:r>
          </w:p>
        </w:tc>
        <w:tc>
          <w:tcPr>
            <w:tcW w:type="dxa" w:w="3402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Single-pass, label-only grouping is unexamined</w:t>
            </w:r>
          </w:p>
        </w:tc>
        <w:tc>
          <w:tcPr>
            <w:tcW w:type="dxa" w:w="8787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Slot Attention (iterative), GroupViT (image-text) and DINOSAUR (pretrained features) bracket the design space, but a feed-forward top-k assignment trained from class labels is not characterised.</w:t>
            </w:r>
          </w:p>
        </w:tc>
        <w:tc>
          <w:tcPr>
            <w:tcW w:type="dxa" w:w="1928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RO2, RO4</w:t>
            </w:r>
          </w:p>
        </w:tc>
      </w:tr>
      <w:tr>
        <w:trPr>
          <w:cantSplit w:val="true"/>
        </w:trPr>
        <w:tc>
          <w:tcPr>
            <w:tcW w:type="dxa" w:w="7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sz w:val="19"/>
              </w:rPr>
              <w:t>G4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Weak evaluation protocols in this literature</w:t>
            </w:r>
          </w:p>
        </w:tc>
        <w:tc>
          <w:tcPr>
            <w:tcW w:type="dxa" w:w="878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Steiner, Wightman, Lucic, Musgrave and Bouthillier show recipe, tuning and seed variance can reverse rankings; our own baselines were single-seed with test-split selection.</w:t>
            </w:r>
          </w:p>
        </w:tc>
        <w:tc>
          <w:tcPr>
            <w:tcW w:type="dxa" w:w="192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RO1, RO5</w:t>
            </w:r>
          </w:p>
        </w:tc>
      </w:tr>
      <w:tr>
        <w:trPr>
          <w:cantSplit w:val="true"/>
        </w:trPr>
        <w:tc>
          <w:tcPr>
            <w:tcW w:type="dxa" w:w="794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/>
                <w:i w:val="0"/>
                <w:sz w:val="19"/>
              </w:rPr>
              <w:t>G5</w:t>
            </w:r>
          </w:p>
        </w:tc>
        <w:tc>
          <w:tcPr>
            <w:tcW w:type="dxa" w:w="3402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Emergent-region claims are qualitative</w:t>
            </w:r>
          </w:p>
        </w:tc>
        <w:tc>
          <w:tcPr>
            <w:tcW w:type="dxa" w:w="8787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DINO and our Fig. 5 show attention or slot maps visually; ImageNet-S gives a mask protocol that has not been applied to routing-based hierarchies.</w:t>
            </w:r>
          </w:p>
        </w:tc>
        <w:tc>
          <w:tcPr>
            <w:tcW w:type="dxa" w:w="1928"/>
            <w:vAlign w:val="top"/>
            <w:shd w:val="clear" w:color="auto" w:fill="EAF1F4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RO4</w:t>
            </w:r>
          </w:p>
        </w:tc>
      </w:tr>
      <w:tr>
        <w:trPr>
          <w:cantSplit w:val="true"/>
        </w:trPr>
        <w:tc>
          <w:tcPr>
            <w:tcW w:type="dxa" w:w="794"/>
            <w:vAlign w:val="top"/>
          </w:tcPr>
          <w:p>
            <w:pPr>
              <w:spacing w:after="0" w:before="0"/>
            </w:pPr>
            <w:r/>
            <w:r>
              <w:rPr>
                <w:b/>
                <w:i w:val="0"/>
                <w:sz w:val="19"/>
              </w:rPr>
              <w:t>G6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Scale is untested</w:t>
            </w:r>
          </w:p>
        </w:tc>
        <w:tc>
          <w:tcPr>
            <w:tcW w:type="dxa" w:w="8787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The advantage over Swin narrowed by 76% from 32x32 to 64x64 in the minor project; behaviour at ImageNet-like resolution is unknown.</w:t>
            </w:r>
          </w:p>
        </w:tc>
        <w:tc>
          <w:tcPr>
            <w:tcW w:type="dxa" w:w="1928"/>
            <w:vAlign w:val="top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9"/>
              </w:rPr>
              <w:t>RO3</w:t>
            </w:r>
          </w:p>
        </w:tc>
      </w:tr>
    </w:tbl>
    <w:p>
      <w:r>
        <w:rPr>
          <w:b w:val="0"/>
          <w:i w:val="0"/>
        </w:rPr>
      </w:r>
    </w:p>
    <w:p>
      <w:pPr>
        <w:pStyle w:val="Heading2"/>
      </w:pPr>
      <w:r>
        <w:t>4. References</w:t>
      </w:r>
    </w:p>
    <w:p>
      <w:pPr>
        <w:spacing w:after="60"/>
        <w:ind w:left="510" w:hanging="510"/>
      </w:pPr>
      <w:r>
        <w:rPr>
          <w:b/>
          <w:sz w:val="18"/>
        </w:rPr>
        <w:t xml:space="preserve">[1]  </w:t>
      </w:r>
      <w:r>
        <w:rPr>
          <w:sz w:val="18"/>
        </w:rPr>
        <w:t>A. Dosovitskiy et al., "An image is worth 16x16 words: Transformers for image recognition at scale," in Proc. ICLR, 2021.</w:t>
      </w:r>
    </w:p>
    <w:p>
      <w:pPr>
        <w:spacing w:after="60"/>
        <w:ind w:left="510" w:hanging="510"/>
      </w:pPr>
      <w:r>
        <w:rPr>
          <w:b/>
          <w:sz w:val="18"/>
        </w:rPr>
        <w:t xml:space="preserve">[2]  </w:t>
      </w:r>
      <w:r>
        <w:rPr>
          <w:sz w:val="18"/>
        </w:rPr>
        <w:t>Z. Liu et al., "Swin Transformer: Hierarchical vision transformer using shifted windows," in Proc. IEEE/CVF ICCV, 2021, pp. 10012-10022.</w:t>
      </w:r>
    </w:p>
    <w:p>
      <w:pPr>
        <w:spacing w:after="60"/>
        <w:ind w:left="510" w:hanging="510"/>
      </w:pPr>
      <w:r>
        <w:rPr>
          <w:b/>
          <w:sz w:val="18"/>
        </w:rPr>
        <w:t xml:space="preserve">[3]  </w:t>
      </w:r>
      <w:r>
        <w:rPr>
          <w:sz w:val="18"/>
        </w:rPr>
        <w:t>W. Wang et al., "Pyramid vision transformer: A versatile backbone for dense prediction without convolutions," in Proc. IEEE/CVF ICCV, 2021, pp. 568-578.</w:t>
      </w:r>
    </w:p>
    <w:p>
      <w:pPr>
        <w:spacing w:after="60"/>
        <w:ind w:left="510" w:hanging="510"/>
      </w:pPr>
      <w:r>
        <w:rPr>
          <w:b/>
          <w:sz w:val="18"/>
        </w:rPr>
        <w:t xml:space="preserve">[4]  </w:t>
      </w:r>
      <w:r>
        <w:rPr>
          <w:sz w:val="18"/>
        </w:rPr>
        <w:t>Y. Rao et al., "DynamicViT: Efficient vision transformers with dynamic token sparsification," in Proc. NeurIPS, vol. 34, 2021, pp. 13937-13949.</w:t>
      </w:r>
    </w:p>
    <w:p>
      <w:pPr>
        <w:spacing w:after="60"/>
        <w:ind w:left="510" w:hanging="510"/>
      </w:pPr>
      <w:r>
        <w:rPr>
          <w:b/>
          <w:sz w:val="18"/>
        </w:rPr>
        <w:t xml:space="preserve">[5]  </w:t>
      </w:r>
      <w:r>
        <w:rPr>
          <w:sz w:val="18"/>
        </w:rPr>
        <w:t>D. Bolya et al., "Token merging: Your ViT but faster," in Proc. ICLR, 2023.</w:t>
      </w:r>
    </w:p>
    <w:p>
      <w:pPr>
        <w:spacing w:after="60"/>
        <w:ind w:left="510" w:hanging="510"/>
      </w:pPr>
      <w:r>
        <w:rPr>
          <w:b/>
          <w:sz w:val="18"/>
        </w:rPr>
        <w:t xml:space="preserve">[6]  </w:t>
      </w:r>
      <w:r>
        <w:rPr>
          <w:sz w:val="18"/>
        </w:rPr>
        <w:t>D. Marin et al., "Token pooling in vision transformers for image classification," in Proc. IEEE/CVF WACV, 2023, pp. 12-21.</w:t>
      </w:r>
    </w:p>
    <w:p>
      <w:pPr>
        <w:spacing w:after="60"/>
        <w:ind w:left="510" w:hanging="510"/>
      </w:pPr>
      <w:r>
        <w:rPr>
          <w:b/>
          <w:sz w:val="18"/>
        </w:rPr>
        <w:t xml:space="preserve">[7]  </w:t>
      </w:r>
      <w:r>
        <w:rPr>
          <w:sz w:val="18"/>
        </w:rPr>
        <w:t>Y. Wang and Y. Yang, "Efficient visual transformer by learnable token merging," IEEE Trans. Pattern Anal. Mach. Intell., vol. 47, no. 11, pp. 9608-9624, 2025.</w:t>
      </w:r>
    </w:p>
    <w:p>
      <w:pPr>
        <w:spacing w:after="60"/>
        <w:ind w:left="510" w:hanging="510"/>
      </w:pPr>
      <w:r>
        <w:rPr>
          <w:b/>
          <w:sz w:val="18"/>
        </w:rPr>
        <w:t xml:space="preserve">[8]  </w:t>
      </w:r>
      <w:r>
        <w:rPr>
          <w:sz w:val="18"/>
        </w:rPr>
        <w:t>M. S. Ryoo et al., "TokenLearner: What can 8 learned tokens do for images and videos?" in Proc. NeurIPS, 2021, arXiv:2106.11297.</w:t>
      </w:r>
    </w:p>
    <w:p>
      <w:pPr>
        <w:spacing w:after="60"/>
        <w:ind w:left="510" w:hanging="510"/>
      </w:pPr>
      <w:r>
        <w:rPr>
          <w:b/>
          <w:sz w:val="18"/>
        </w:rPr>
        <w:t xml:space="preserve">[9]  </w:t>
      </w:r>
      <w:r>
        <w:rPr>
          <w:sz w:val="18"/>
        </w:rPr>
        <w:t>C. Renggli et al., "Learning to merge tokens in vision transformers," arXiv:2202.12015, 2022.</w:t>
      </w:r>
    </w:p>
    <w:p>
      <w:pPr>
        <w:spacing w:after="60"/>
        <w:ind w:left="510" w:hanging="510"/>
      </w:pPr>
      <w:r>
        <w:rPr>
          <w:b/>
          <w:sz w:val="18"/>
        </w:rPr>
        <w:t xml:space="preserve">[10]  </w:t>
      </w:r>
      <w:r>
        <w:rPr>
          <w:sz w:val="18"/>
        </w:rPr>
        <w:t>F. Locatello et al., "Object-centric learning with slot attention," in Proc. NeurIPS, vol. 33, 2020, pp. 11525-11538.</w:t>
      </w:r>
    </w:p>
    <w:p>
      <w:pPr>
        <w:spacing w:after="60"/>
        <w:ind w:left="510" w:hanging="510"/>
      </w:pPr>
      <w:r>
        <w:rPr>
          <w:b/>
          <w:sz w:val="18"/>
        </w:rPr>
        <w:t xml:space="preserve">[11]  </w:t>
      </w:r>
      <w:r>
        <w:rPr>
          <w:sz w:val="18"/>
        </w:rPr>
        <w:t>J. Xu et al., "GroupViT: Semantic segmentation emerges from text supervision," in Proc. IEEE/CVF CVPR, 2022, pp. 18134-18144.</w:t>
      </w:r>
    </w:p>
    <w:p>
      <w:pPr>
        <w:spacing w:after="60"/>
        <w:ind w:left="510" w:hanging="510"/>
      </w:pPr>
      <w:r>
        <w:rPr>
          <w:b/>
          <w:sz w:val="18"/>
        </w:rPr>
        <w:t xml:space="preserve">[12]  </w:t>
      </w:r>
      <w:r>
        <w:rPr>
          <w:sz w:val="18"/>
        </w:rPr>
        <w:t>M. Seitzer et al., "Bridging the gap to real-world object-centric learning," in Proc. ICLR, 2023.</w:t>
      </w:r>
    </w:p>
    <w:p>
      <w:pPr>
        <w:spacing w:after="60"/>
        <w:ind w:left="510" w:hanging="510"/>
      </w:pPr>
      <w:r>
        <w:rPr>
          <w:b/>
          <w:sz w:val="18"/>
        </w:rPr>
        <w:t xml:space="preserve">[13]  </w:t>
      </w:r>
      <w:r>
        <w:rPr>
          <w:sz w:val="18"/>
        </w:rPr>
        <w:t>A. Jaegle et al., "Perceiver: General perception with iterative attention," in Proc. ICML, 2021, pp. 4651-4664.</w:t>
      </w:r>
    </w:p>
    <w:p>
      <w:pPr>
        <w:spacing w:after="60"/>
        <w:ind w:left="510" w:hanging="510"/>
      </w:pPr>
      <w:r>
        <w:rPr>
          <w:b/>
          <w:sz w:val="18"/>
        </w:rPr>
        <w:t xml:space="preserve">[14]  </w:t>
      </w:r>
      <w:r>
        <w:rPr>
          <w:sz w:val="18"/>
        </w:rPr>
        <w:t>T. Darcet et al., "Vision transformers need registers," in Proc. ICLR, 2024.</w:t>
      </w:r>
    </w:p>
    <w:p>
      <w:pPr>
        <w:spacing w:after="60"/>
        <w:ind w:left="510" w:hanging="510"/>
      </w:pPr>
      <w:r>
        <w:rPr>
          <w:b/>
          <w:sz w:val="18"/>
        </w:rPr>
        <w:t xml:space="preserve">[15]  </w:t>
      </w:r>
      <w:r>
        <w:rPr>
          <w:sz w:val="18"/>
        </w:rPr>
        <w:t>M. Caron et al., "Emerging properties in self-supervised vision transformers," in Proc. IEEE/CVF ICCV, 2021, pp. 9650-9660.</w:t>
      </w:r>
    </w:p>
    <w:p>
      <w:pPr>
        <w:spacing w:after="60"/>
        <w:ind w:left="510" w:hanging="510"/>
      </w:pPr>
      <w:r>
        <w:rPr>
          <w:b/>
          <w:sz w:val="18"/>
        </w:rPr>
        <w:t xml:space="preserve">[16]  </w:t>
      </w:r>
      <w:r>
        <w:rPr>
          <w:sz w:val="18"/>
        </w:rPr>
        <w:t>S. Gao et al., "Large-scale unsupervised semantic segmentation," IEEE Trans. Pattern Anal. Mach. Intell., 2023, doi:10.1109/TPAMI.2022.3218275.</w:t>
      </w:r>
    </w:p>
    <w:p>
      <w:pPr>
        <w:spacing w:after="60"/>
        <w:ind w:left="510" w:hanging="510"/>
      </w:pPr>
      <w:r>
        <w:rPr>
          <w:b/>
          <w:sz w:val="18"/>
        </w:rPr>
        <w:t xml:space="preserve">[17]  </w:t>
      </w:r>
      <w:r>
        <w:rPr>
          <w:sz w:val="18"/>
        </w:rPr>
        <w:t>E. P. Hoel, L. Albantakis and G. Tononi, "Quantifying causal emergence shows that macro can beat micro," Proc. Natl. Acad. Sci., vol. 110, no. 49, pp. 19790-19795, 2013.</w:t>
      </w:r>
    </w:p>
    <w:p>
      <w:pPr>
        <w:spacing w:after="60"/>
        <w:ind w:left="510" w:hanging="510"/>
      </w:pPr>
      <w:r>
        <w:rPr>
          <w:b/>
          <w:sz w:val="18"/>
        </w:rPr>
        <w:t xml:space="preserve">[18]  </w:t>
      </w:r>
      <w:r>
        <w:rPr>
          <w:sz w:val="18"/>
        </w:rPr>
        <w:t>A. Steiner et al., "How to train your ViT? Data, augmentation, and regularization in vision transformers," Trans. Mach. Learn. Res., 2022.</w:t>
      </w:r>
    </w:p>
    <w:p>
      <w:pPr>
        <w:spacing w:after="60"/>
        <w:ind w:left="510" w:hanging="510"/>
      </w:pPr>
      <w:r>
        <w:rPr>
          <w:b/>
          <w:sz w:val="18"/>
        </w:rPr>
        <w:t xml:space="preserve">[19]  </w:t>
      </w:r>
      <w:r>
        <w:rPr>
          <w:sz w:val="18"/>
        </w:rPr>
        <w:t>R. Wightman, H. Touvron and H. Jegou, "ResNet strikes back: An improved training procedure in timm," arXiv:2110.00476, 2021.</w:t>
      </w:r>
    </w:p>
    <w:p>
      <w:pPr>
        <w:spacing w:after="60"/>
        <w:ind w:left="510" w:hanging="510"/>
      </w:pPr>
      <w:r>
        <w:rPr>
          <w:b/>
          <w:sz w:val="18"/>
        </w:rPr>
        <w:t xml:space="preserve">[20]  </w:t>
      </w:r>
      <w:r>
        <w:rPr>
          <w:sz w:val="18"/>
        </w:rPr>
        <w:t>M. Lucic et al., "Are GANs created equal? A large-scale study," in Proc. NeurIPS, 2018.</w:t>
      </w:r>
    </w:p>
    <w:p>
      <w:pPr>
        <w:spacing w:after="60"/>
        <w:ind w:left="510" w:hanging="510"/>
      </w:pPr>
      <w:r>
        <w:rPr>
          <w:b/>
          <w:sz w:val="18"/>
        </w:rPr>
        <w:t xml:space="preserve">[21]  </w:t>
      </w:r>
      <w:r>
        <w:rPr>
          <w:sz w:val="18"/>
        </w:rPr>
        <w:t>K. Musgrave, S. Belongie and S.-N. Lim, "A metric learning reality check," in Proc. ECCV, 2020.</w:t>
      </w:r>
    </w:p>
    <w:p>
      <w:pPr>
        <w:spacing w:after="60"/>
        <w:ind w:left="510" w:hanging="510"/>
      </w:pPr>
      <w:r>
        <w:rPr>
          <w:b/>
          <w:sz w:val="18"/>
        </w:rPr>
        <w:t xml:space="preserve">[22]  </w:t>
      </w:r>
      <w:r>
        <w:rPr>
          <w:sz w:val="18"/>
        </w:rPr>
        <w:t>X. Bouthillier et al., "Accounting for variance in machine learning benchmarks," in Proc. MLSys, 2021.</w:t>
      </w:r>
    </w:p>
    <w:p>
      <w:pPr>
        <w:spacing w:after="60"/>
        <w:ind w:left="510" w:hanging="510"/>
      </w:pPr>
      <w:r>
        <w:rPr>
          <w:b/>
          <w:sz w:val="18"/>
        </w:rPr>
        <w:t xml:space="preserve">[23]  </w:t>
      </w:r>
      <w:r>
        <w:rPr>
          <w:sz w:val="18"/>
        </w:rPr>
        <w:t>D. J. Das, R. Sharma and E. M, "CET-ViT: Causal Emergence Transformer for Vision," in Proc. ICSL-DSGA, IEEE, 2026, doi:10.1109/ICSL-DSGA70378.2026.11736840.</w:t>
      </w:r>
    </w:p>
    <w:p>
      <w:pPr>
        <w:spacing w:after="60"/>
        <w:ind w:left="510" w:hanging="510"/>
      </w:pPr>
      <w:r>
        <w:rPr>
          <w:b/>
          <w:sz w:val="18"/>
        </w:rPr>
        <w:t xml:space="preserve">[24]  </w:t>
      </w:r>
      <w:r>
        <w:rPr>
          <w:sz w:val="18"/>
        </w:rPr>
        <w:t>D. J. Das, "A learned grouping branch versus a compute-matched control: the answer depends on the learning rate," unpublished manuscript (draft v13), 2026.</w:t>
      </w:r>
    </w:p>
    <w:sectPr w:rsidR="00FC693F" w:rsidRPr="0006063C" w:rsidSect="00034616">
      <w:footerReference w:type="default" r:id="rId9"/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5B6B77"/>
        <w:sz w:val="18"/>
      </w:rPr>
      <w:t xml:space="preserve">SRMIST School of Computing  |  Major Project 2026-27  |  Zeroth Review  |  Page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2A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2A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mbria" w:hAnsi="Cambria" w:eastAsia="Cambria"/>
      <w:b/>
      <w:bCs/>
      <w:color w:val="0F2A3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