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24000" cy="1220127"/>
            <wp:docPr id="1" name="Picture 1"/>
            <wp:cNvGraphicFramePr>
              <a:graphicFrameLocks noChangeAspect="1"/>
            </wp:cNvGraphicFramePr>
            <a:graphic>
              <a:graphicData uri="http://schemas.openxmlformats.org/drawingml/2006/picture">
                <pic:pic>
                  <pic:nvPicPr>
                    <pic:cNvPr id="0" name="srm_logo.png"/>
                    <pic:cNvPicPr/>
                  </pic:nvPicPr>
                  <pic:blipFill>
                    <a:blip r:embed="rId10"/>
                    <a:stretch>
                      <a:fillRect/>
                    </a:stretch>
                  </pic:blipFill>
                  <pic:spPr>
                    <a:xfrm>
                      <a:off x="0" y="0"/>
                      <a:ext cx="1224000" cy="1220127"/>
                    </a:xfrm>
                    <a:prstGeom prst="rect"/>
                  </pic:spPr>
                </pic:pic>
              </a:graphicData>
            </a:graphic>
          </wp:inline>
        </w:drawing>
      </w:r>
    </w:p>
    <w:p>
      <w:pPr>
        <w:spacing w:after="0"/>
        <w:jc w:val="center"/>
      </w:pPr>
      <w:r>
        <w:rPr>
          <w:b/>
          <w:i w:val="0"/>
          <w:color w:val="0F2A3D"/>
          <w:sz w:val="32"/>
        </w:rPr>
        <w:t>SRM INSTITUTE OF SCIENCE AND TECHNOLOGY</w:t>
      </w:r>
    </w:p>
    <w:p>
      <w:pPr>
        <w:spacing w:after="0"/>
        <w:jc w:val="center"/>
      </w:pPr>
      <w:r>
        <w:rPr>
          <w:b w:val="0"/>
          <w:i w:val="0"/>
          <w:color w:val="5B6B77"/>
          <w:sz w:val="20"/>
        </w:rPr>
        <w:t>KATTANKULATHUR, CHENGALPATTU DISTRICT, TAMIL NADU</w:t>
      </w:r>
    </w:p>
    <w:p>
      <w:pPr>
        <w:spacing w:after="40"/>
        <w:jc w:val="center"/>
      </w:pPr>
      <w:r>
        <w:rPr>
          <w:b/>
          <w:i w:val="0"/>
          <w:color w:val="0F2A3D"/>
          <w:sz w:val="24"/>
        </w:rPr>
        <w:t>SCHOOL OF COMPUTING</w:t>
      </w:r>
    </w:p>
    <w:p>
      <w:pPr>
        <w:spacing w:after="360"/>
        <w:jc w:val="center"/>
      </w:pPr>
      <w:r>
        <w:rPr>
          <w:b w:val="0"/>
          <w:i w:val="0"/>
          <w:sz w:val="22"/>
        </w:rPr>
        <w:t>Department of Computing Technologies</w:t>
      </w:r>
    </w:p>
    <w:p>
      <w:pPr>
        <w:spacing w:after="40"/>
        <w:jc w:val="center"/>
      </w:pPr>
      <w:r>
        <w:rPr>
          <w:rFonts w:ascii="Cambria" w:hAnsi="Cambria"/>
          <w:b/>
          <w:i w:val="0"/>
          <w:color w:val="0F2A3D"/>
          <w:sz w:val="40"/>
        </w:rPr>
        <w:t>PROJECT ZEROTH REVIEW REPORT</w:t>
      </w:r>
    </w:p>
    <w:p>
      <w:pPr>
        <w:spacing w:after="320"/>
        <w:jc w:val="center"/>
      </w:pPr>
      <w:r>
        <w:rPr>
          <w:b w:val="0"/>
          <w:i w:val="0"/>
          <w:color w:val="5B6B77"/>
          <w:sz w:val="22"/>
        </w:rPr>
        <w:t>VIII Semester  |  Major Project 2026-2027  |  21CSP401L - Major Project (Research-oriented)</w:t>
      </w:r>
    </w:p>
    <w:p>
      <w:pPr>
        <w:spacing w:after="0"/>
        <w:jc w:val="center"/>
      </w:pPr>
      <w:r>
        <w:rPr>
          <w:b/>
          <w:i w:val="0"/>
          <w:color w:val="1B7F8C"/>
          <w:sz w:val="20"/>
        </w:rPr>
        <w:t>Project title</w:t>
      </w:r>
    </w:p>
    <w:p>
      <w:pPr>
        <w:spacing w:after="280"/>
        <w:jc w:val="center"/>
      </w:pPr>
      <w:r>
        <w:rPr>
          <w:rFonts w:ascii="Cambria" w:hAnsi="Cambria"/>
          <w:b/>
          <w:i w:val="0"/>
          <w:color w:val="0F2A3D"/>
          <w:sz w:val="34"/>
        </w:rPr>
        <w:t>Beyond CET-ViT: A Capacity-Controlled Study of Learned Token Grouping in Vision Transformers</w:t>
      </w:r>
    </w:p>
    <w:tbl>
      <w:tblPr>
        <w:tblW w:type="auto" w:w="0"/>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70" w:type="dxa"/>
          <w:left w:w="100" w:type="dxa"/>
          <w:bottom w:w="70" w:type="dxa"/>
          <w:right w:w="100" w:type="dxa"/>
        </w:tblCellMar>
        <w:tblLayout w:type="fixed"/>
      </w:tblPr>
      <w:tblGrid>
        <w:gridCol w:w="2834"/>
        <w:gridCol w:w="6803"/>
      </w:tblGrid>
      <w:tr>
        <w:tc>
          <w:tcPr>
            <w:tcW w:type="dxa" w:w="2835"/>
            <w:vAlign w:val="center"/>
            <w:shd w:val="clear" w:color="auto" w:fill="EAF1F4"/>
          </w:tcPr>
          <w:p>
            <w:pPr>
              <w:spacing w:after="0" w:before="0"/>
            </w:pPr>
            <w:r/>
            <w:r>
              <w:rPr>
                <w:b/>
                <w:i w:val="0"/>
                <w:color w:val="0F2A3D"/>
                <w:sz w:val="20"/>
              </w:rPr>
              <w:t>Project category</w:t>
            </w:r>
          </w:p>
        </w:tc>
        <w:tc>
          <w:tcPr>
            <w:tcW w:type="dxa" w:w="6803"/>
            <w:vAlign w:val="center"/>
          </w:tcPr>
          <w:p>
            <w:pPr>
              <w:spacing w:after="0" w:before="0"/>
            </w:pPr>
            <w:r/>
            <w:r>
              <w:rPr>
                <w:b w:val="0"/>
                <w:i w:val="0"/>
                <w:sz w:val="20"/>
              </w:rPr>
              <w:t>Research-oriented project</w:t>
            </w:r>
          </w:p>
        </w:tc>
      </w:tr>
      <w:tr>
        <w:tc>
          <w:tcPr>
            <w:tcW w:type="dxa" w:w="2835"/>
            <w:vAlign w:val="center"/>
            <w:shd w:val="clear" w:color="auto" w:fill="EAF1F4"/>
          </w:tcPr>
          <w:p>
            <w:pPr>
              <w:spacing w:after="0" w:before="0"/>
            </w:pPr>
            <w:r/>
            <w:r>
              <w:rPr>
                <w:b/>
                <w:i w:val="0"/>
                <w:color w:val="0F2A3D"/>
                <w:sz w:val="20"/>
              </w:rPr>
              <w:t>Extension of minor project</w:t>
            </w:r>
          </w:p>
        </w:tc>
        <w:tc>
          <w:tcPr>
            <w:tcW w:type="dxa" w:w="6803"/>
            <w:vAlign w:val="center"/>
          </w:tcPr>
          <w:p>
            <w:pPr>
              <w:spacing w:after="0" w:before="0"/>
            </w:pPr>
            <w:r/>
            <w:r>
              <w:rPr>
                <w:b w:val="0"/>
                <w:i w:val="0"/>
                <w:sz w:val="20"/>
              </w:rPr>
              <w:t>Yes: CET-ViT: Causal Emergence Transformer for Vision (IEEE ICSL-DSGA 2026). Extension is subject to the guide's recommendation at this review.</w:t>
            </w:r>
          </w:p>
        </w:tc>
      </w:tr>
      <w:tr>
        <w:tc>
          <w:tcPr>
            <w:tcW w:type="dxa" w:w="2835"/>
            <w:vAlign w:val="center"/>
            <w:shd w:val="clear" w:color="auto" w:fill="EAF1F4"/>
          </w:tcPr>
          <w:p>
            <w:pPr>
              <w:spacing w:after="0" w:before="0"/>
            </w:pPr>
            <w:r/>
            <w:r>
              <w:rPr>
                <w:b/>
                <w:i w:val="0"/>
                <w:color w:val="0F2A3D"/>
                <w:sz w:val="20"/>
              </w:rPr>
              <w:t>Guide</w:t>
            </w:r>
          </w:p>
        </w:tc>
        <w:tc>
          <w:tcPr>
            <w:tcW w:type="dxa" w:w="6803"/>
            <w:vAlign w:val="center"/>
          </w:tcPr>
          <w:p>
            <w:pPr>
              <w:spacing w:after="0" w:before="0"/>
            </w:pPr>
            <w:r/>
            <w:r>
              <w:rPr>
                <w:b w:val="0"/>
                <w:i w:val="0"/>
                <w:sz w:val="20"/>
              </w:rPr>
              <w:t>Dr. Eliazer M, Associate Professor, Department of Computing Technologies</w:t>
            </w:r>
          </w:p>
        </w:tc>
      </w:tr>
      <w:tr>
        <w:tc>
          <w:tcPr>
            <w:tcW w:type="dxa" w:w="2835"/>
            <w:vAlign w:val="center"/>
            <w:shd w:val="clear" w:color="auto" w:fill="EAF1F4"/>
          </w:tcPr>
          <w:p>
            <w:pPr>
              <w:spacing w:after="0" w:before="0"/>
            </w:pPr>
            <w:r/>
            <w:r>
              <w:rPr>
                <w:b/>
                <w:i w:val="0"/>
                <w:color w:val="0F2A3D"/>
                <w:sz w:val="20"/>
              </w:rPr>
              <w:t>Review</w:t>
            </w:r>
          </w:p>
        </w:tc>
        <w:tc>
          <w:tcPr>
            <w:tcW w:type="dxa" w:w="6803"/>
            <w:vAlign w:val="center"/>
          </w:tcPr>
          <w:p>
            <w:pPr>
              <w:spacing w:after="0" w:before="0"/>
            </w:pPr>
            <w:r/>
            <w:r>
              <w:rPr>
                <w:b w:val="0"/>
                <w:i w:val="0"/>
                <w:sz w:val="20"/>
              </w:rPr>
              <w:t>Zeroth Review, 6 to 10 November 2026</w:t>
            </w:r>
          </w:p>
        </w:tc>
      </w:tr>
      <w:tr>
        <w:tc>
          <w:tcPr>
            <w:tcW w:type="dxa" w:w="2835"/>
            <w:vAlign w:val="center"/>
            <w:shd w:val="clear" w:color="auto" w:fill="EAF1F4"/>
          </w:tcPr>
          <w:p>
            <w:pPr>
              <w:spacing w:after="0" w:before="0"/>
            </w:pPr>
            <w:r/>
            <w:r>
              <w:rPr>
                <w:b/>
                <w:i w:val="0"/>
                <w:color w:val="0F2A3D"/>
                <w:sz w:val="20"/>
              </w:rPr>
              <w:t>Technology Readiness Level</w:t>
            </w:r>
          </w:p>
        </w:tc>
        <w:tc>
          <w:tcPr>
            <w:tcW w:type="dxa" w:w="6803"/>
            <w:vAlign w:val="center"/>
          </w:tcPr>
          <w:p>
            <w:pPr>
              <w:spacing w:after="0" w:before="0"/>
            </w:pPr>
            <w:r/>
            <w:r>
              <w:rPr>
                <w:b w:val="0"/>
                <w:i w:val="0"/>
                <w:sz w:val="20"/>
              </w:rPr>
              <w:t>Current TRL 3, target TRL 4</w:t>
            </w:r>
          </w:p>
        </w:tc>
      </w:tr>
      <w:tr>
        <w:tc>
          <w:tcPr>
            <w:tcW w:type="dxa" w:w="2835"/>
            <w:vAlign w:val="center"/>
            <w:shd w:val="clear" w:color="auto" w:fill="EAF1F4"/>
          </w:tcPr>
          <w:p>
            <w:pPr>
              <w:spacing w:after="0" w:before="0"/>
            </w:pPr>
            <w:r/>
            <w:r>
              <w:rPr>
                <w:b/>
                <w:i w:val="0"/>
                <w:color w:val="0F2A3D"/>
                <w:sz w:val="20"/>
              </w:rPr>
              <w:t>Primary SDG</w:t>
            </w:r>
          </w:p>
        </w:tc>
        <w:tc>
          <w:tcPr>
            <w:tcW w:type="dxa" w:w="6803"/>
            <w:vAlign w:val="center"/>
          </w:tcPr>
          <w:p>
            <w:pPr>
              <w:spacing w:after="0" w:before="0"/>
            </w:pPr>
            <w:r/>
            <w:r>
              <w:rPr>
                <w:b w:val="0"/>
                <w:i w:val="0"/>
                <w:sz w:val="20"/>
              </w:rPr>
              <w:t>SDG 9: Industry, Innovation and Infrastructure (supporting: SDG 12, SDG 13)</w:t>
            </w:r>
          </w:p>
        </w:tc>
      </w:tr>
    </w:tbl>
    <w:p>
      <w:pPr>
        <w:spacing w:after="120"/>
      </w:pPr>
      <w:r>
        <w:rPr>
          <w:b w:val="0"/>
          <w:i w:val="0"/>
        </w:rPr>
      </w:r>
    </w:p>
    <w:p>
      <w:pPr>
        <w:spacing w:after="40"/>
      </w:pPr>
      <w:r>
        <w:rPr>
          <w:b/>
          <w:i w:val="0"/>
          <w:color w:val="1B7F8C"/>
          <w:sz w:val="20"/>
        </w:rPr>
        <w:t>Team members</w:t>
      </w:r>
    </w:p>
    <w:tbl>
      <w:tblPr>
        <w:tblW w:type="auto" w:w="0"/>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60" w:type="dxa"/>
          <w:left w:w="90" w:type="dxa"/>
          <w:bottom w:w="60" w:type="dxa"/>
          <w:right w:w="90" w:type="dxa"/>
        </w:tblCellMar>
        <w:tblLayout w:type="fixed"/>
      </w:tblPr>
      <w:tblGrid>
        <w:gridCol w:w="2040"/>
        <w:gridCol w:w="2040"/>
        <w:gridCol w:w="2607"/>
        <w:gridCol w:w="2948"/>
      </w:tblGrid>
      <w:tr>
        <w:tc>
          <w:tcPr>
            <w:tcW w:type="dxa" w:w="2041"/>
            <w:vAlign w:val="center"/>
            <w:shd w:val="clear" w:color="auto" w:fill="0F2A3D"/>
          </w:tcPr>
          <w:p>
            <w:pPr>
              <w:spacing w:after="0" w:before="0"/>
            </w:pPr>
            <w:r/>
            <w:r>
              <w:rPr>
                <w:b/>
                <w:i w:val="0"/>
                <w:color w:val="FFFFFF"/>
                <w:sz w:val="19"/>
              </w:rPr>
              <w:t>Name</w:t>
            </w:r>
          </w:p>
        </w:tc>
        <w:tc>
          <w:tcPr>
            <w:tcW w:type="dxa" w:w="2041"/>
            <w:vAlign w:val="center"/>
            <w:shd w:val="clear" w:color="auto" w:fill="0F2A3D"/>
          </w:tcPr>
          <w:p>
            <w:pPr>
              <w:spacing w:after="0" w:before="0"/>
            </w:pPr>
            <w:r/>
            <w:r>
              <w:rPr>
                <w:b/>
                <w:i w:val="0"/>
                <w:color w:val="FFFFFF"/>
                <w:sz w:val="19"/>
              </w:rPr>
              <w:t>Register number</w:t>
            </w:r>
          </w:p>
        </w:tc>
        <w:tc>
          <w:tcPr>
            <w:tcW w:type="dxa" w:w="2608"/>
            <w:vAlign w:val="center"/>
            <w:shd w:val="clear" w:color="auto" w:fill="0F2A3D"/>
          </w:tcPr>
          <w:p>
            <w:pPr>
              <w:spacing w:after="0" w:before="0"/>
            </w:pPr>
            <w:r/>
            <w:r>
              <w:rPr>
                <w:b/>
                <w:i w:val="0"/>
                <w:color w:val="FFFFFF"/>
                <w:sz w:val="19"/>
              </w:rPr>
              <w:t>SRMIST e-mail</w:t>
            </w:r>
          </w:p>
        </w:tc>
        <w:tc>
          <w:tcPr>
            <w:tcW w:type="dxa" w:w="2948"/>
            <w:vAlign w:val="center"/>
            <w:shd w:val="clear" w:color="auto" w:fill="0F2A3D"/>
          </w:tcPr>
          <w:p>
            <w:pPr>
              <w:spacing w:after="0" w:before="0"/>
            </w:pPr>
            <w:r/>
            <w:r>
              <w:rPr>
                <w:b/>
                <w:i w:val="0"/>
                <w:color w:val="FFFFFF"/>
                <w:sz w:val="19"/>
              </w:rPr>
              <w:t>Primary responsibility</w:t>
            </w:r>
          </w:p>
        </w:tc>
      </w:tr>
      <w:tr>
        <w:tc>
          <w:tcPr>
            <w:tcW w:type="dxa" w:w="2041"/>
            <w:vAlign w:val="center"/>
          </w:tcPr>
          <w:p>
            <w:pPr>
              <w:spacing w:after="0" w:before="0"/>
            </w:pPr>
            <w:r/>
            <w:r>
              <w:rPr>
                <w:b/>
                <w:i w:val="0"/>
                <w:sz w:val="20"/>
              </w:rPr>
              <w:t>Dhruv Jyoti Das</w:t>
            </w:r>
          </w:p>
        </w:tc>
        <w:tc>
          <w:tcPr>
            <w:tcW w:type="dxa" w:w="2041"/>
            <w:vAlign w:val="center"/>
          </w:tcPr>
          <w:p>
            <w:pPr>
              <w:spacing w:after="0" w:before="0"/>
            </w:pPr>
            <w:r/>
            <w:r>
              <w:rPr>
                <w:b w:val="0"/>
                <w:i w:val="0"/>
                <w:color w:val="B00020"/>
                <w:sz w:val="20"/>
              </w:rPr>
              <w:t>RA ____________</w:t>
            </w:r>
          </w:p>
        </w:tc>
        <w:tc>
          <w:tcPr>
            <w:tcW w:type="dxa" w:w="2608"/>
            <w:vAlign w:val="center"/>
          </w:tcPr>
          <w:p>
            <w:pPr>
              <w:spacing w:after="0" w:before="0"/>
            </w:pPr>
            <w:r/>
            <w:r>
              <w:rPr>
                <w:b w:val="0"/>
                <w:i w:val="0"/>
                <w:sz w:val="20"/>
              </w:rPr>
              <w:t>dd4708@srmist.edu.in</w:t>
            </w:r>
          </w:p>
        </w:tc>
        <w:tc>
          <w:tcPr>
            <w:tcW w:type="dxa" w:w="2948"/>
            <w:vAlign w:val="center"/>
          </w:tcPr>
          <w:p>
            <w:pPr>
              <w:spacing w:after="0" w:before="0"/>
            </w:pPr>
            <w:r/>
            <w:r>
              <w:rPr>
                <w:b w:val="0"/>
                <w:i w:val="0"/>
                <w:sz w:val="18"/>
              </w:rPr>
              <w:t>Model arms and control implementations (R, X, B2, G)</w:t>
            </w:r>
          </w:p>
        </w:tc>
      </w:tr>
      <w:tr>
        <w:tc>
          <w:tcPr>
            <w:tcW w:type="dxa" w:w="2041"/>
            <w:vAlign w:val="center"/>
          </w:tcPr>
          <w:p>
            <w:pPr>
              <w:spacing w:after="0" w:before="0"/>
            </w:pPr>
            <w:r/>
            <w:r>
              <w:rPr>
                <w:b/>
                <w:i w:val="0"/>
                <w:sz w:val="20"/>
              </w:rPr>
              <w:t>Raghav Sharma</w:t>
            </w:r>
          </w:p>
        </w:tc>
        <w:tc>
          <w:tcPr>
            <w:tcW w:type="dxa" w:w="2041"/>
            <w:vAlign w:val="center"/>
          </w:tcPr>
          <w:p>
            <w:pPr>
              <w:spacing w:after="0" w:before="0"/>
            </w:pPr>
            <w:r/>
            <w:r>
              <w:rPr>
                <w:b w:val="0"/>
                <w:i w:val="0"/>
                <w:color w:val="B00020"/>
                <w:sz w:val="20"/>
              </w:rPr>
              <w:t>RA ____________</w:t>
            </w:r>
          </w:p>
        </w:tc>
        <w:tc>
          <w:tcPr>
            <w:tcW w:type="dxa" w:w="2608"/>
            <w:vAlign w:val="center"/>
          </w:tcPr>
          <w:p>
            <w:pPr>
              <w:spacing w:after="0" w:before="0"/>
            </w:pPr>
            <w:r/>
            <w:r>
              <w:rPr>
                <w:b w:val="0"/>
                <w:i w:val="0"/>
                <w:sz w:val="20"/>
              </w:rPr>
              <w:t>rs2701@srmist.edu.in</w:t>
            </w:r>
          </w:p>
        </w:tc>
        <w:tc>
          <w:tcPr>
            <w:tcW w:type="dxa" w:w="2948"/>
            <w:vAlign w:val="center"/>
          </w:tcPr>
          <w:p>
            <w:pPr>
              <w:spacing w:after="0" w:before="0"/>
            </w:pPr>
            <w:r/>
            <w:r>
              <w:rPr>
                <w:b w:val="0"/>
                <w:i w:val="0"/>
                <w:sz w:val="18"/>
              </w:rPr>
              <w:t>ImageNet-100 data pipeline and Swin/ToMe baselines</w:t>
            </w:r>
          </w:p>
        </w:tc>
      </w:tr>
    </w:tbl>
    <w:p>
      <w:pPr>
        <w:spacing w:after="0"/>
      </w:pPr>
      <w:r>
        <w:rPr>
          <w:b w:val="0"/>
          <w:i/>
          <w:color w:val="5B6B77"/>
          <w:sz w:val="17"/>
        </w:rPr>
        <w:t>Register numbers are left blank for the team to fill in.</w:t>
      </w:r>
    </w:p>
    <w:p>
      <w:r>
        <w:br w:type="page"/>
      </w:r>
    </w:p>
    <w:p>
      <w:pPr>
        <w:pStyle w:val="Heading1"/>
      </w:pPr>
      <w:r>
        <w:t>Abstract</w:t>
      </w:r>
    </w:p>
    <w:p>
      <w:pPr>
        <w:jc w:val="both"/>
      </w:pPr>
      <w:r>
        <w:rPr>
          <w:b w:val="0"/>
          <w:i w:val="0"/>
          <w:sz w:val="22"/>
        </w:rPr>
        <w:t>Hierarchical vision transformers fix their multi-scale structure by hand (shifted windows, patch merging). Our minor project, CET-ViT, instead routes 256 patch tokens into 32 learned macro-slots with one top-3 sparse assignment (0.0069M parameters) and reported +3.91 points over a size-matched Swin on CIFAR-100. A follow-up self-audit (237 runs, 229 H100-hours) showed that this headline does not survive a compute-matched control and per-arm learning-rate tuning: at the locked learning rate the grouping branch is 1.16 points below a no-branch control on CIFAR-100 and 1.67 below on Tiny-ImageNet, and its sign at tuned rates depends on rate and data set. The open question is therefore not whether grouping works, but what it buys beyond extra capacity. This major project (i) releases a corrected, reproducible baseline; (ii) tests learned grouping against capacity controls (register-style input-independent slots, frozen random routers, fixed block routing) under per-arm tuning and at least five seeds; (iii) extends the comparison to ImageNet-100; and (iv) evaluates the 'emergent regions' claim quantitatively against object masks. Analysis plans are registered before the final runs. Outputs: a public, licensed evaluation harness and two manuscripts.</w:t>
      </w:r>
    </w:p>
    <w:p>
      <w:r>
        <w:rPr>
          <w:b w:val="0"/>
          <w:i/>
          <w:color w:val="5B6B77"/>
          <w:sz w:val="20"/>
        </w:rPr>
        <w:t>Keywords: vision transformer, token grouping, sparse routing, object-centric learning, compute-matched evaluation, reproducibility.</w:t>
      </w:r>
    </w:p>
    <w:p>
      <w:pPr>
        <w:pStyle w:val="Heading1"/>
      </w:pPr>
      <w:r>
        <w:t>1. Introduction to the project</w:t>
      </w:r>
    </w:p>
    <w:p>
      <w:pPr>
        <w:jc w:val="both"/>
      </w:pPr>
      <w:r>
        <w:rPr>
          <w:b w:val="0"/>
          <w:i w:val="0"/>
        </w:rPr>
        <w:t>Vision transformers treat an image as a set of patch tokens. Hierarchical variants such as Swin and PVT add multi-scale structure through hand-designed rules (shifted windows, fixed merging schedules), so a uniform sky and a cluttered street scene pass through identical structure. A learned alternative is to let content decide which tokens are summarised together, as in Slot Attention, GroupViT, TokenLearner and PatchMerger.</w:t>
      </w:r>
    </w:p>
    <w:p>
      <w:pPr>
        <w:jc w:val="both"/>
      </w:pPr>
      <w:r>
        <w:rPr>
          <w:b w:val="0"/>
          <w:i w:val="0"/>
        </w:rPr>
        <w:t>Our minor project, CET-ViT (IEEE ICSL-DSGA 2026), implemented this idea as the V-CEO module: one LayerNorm, one linear map to 32 slot logits and a top-3 sparse softmax, followed by a macro encoder and bidirectional cross-scale attention. It was trained from scratch on CIFAR-100 and Tiny-ImageNet-200. It was originally framed around Hoel's causal-emergence theory; during revision that framing was withdrawn because the implementation never computed effective information, and the paper was re-centred on sparse token grouping.</w:t>
      </w:r>
    </w:p>
    <w:p>
      <w:pPr>
        <w:jc w:val="both"/>
      </w:pPr>
      <w:r>
        <w:rPr>
          <w:b w:val="0"/>
          <w:i w:val="0"/>
        </w:rPr>
        <w:t>We then audited our own work with a compute-matched control (arm G: no grouping branch, same parameters and multiply-accumulates), MAC-matched Swin comparators, per-arm learning-rate sweeps and committed analysis plans (237 runs, 229.29 H100-hours). The audit found that the minor project's headline margin depends on recipe, baseline and learning-rate choices and does not reliably indicate a benefit from grouping. The residual scientific question is the subject of this major project: what learned grouping contributes beyond added capacity, at what scale, and whether its regions are quantitatively meaningful.</w:t>
      </w:r>
    </w:p>
    <w:p>
      <w:pPr>
        <w:pStyle w:val="Heading2"/>
      </w:pPr>
      <w:r>
        <w:t>1.1 Where the minor project stands</w:t>
      </w:r>
    </w:p>
    <w:tbl>
      <w:tblPr>
        <w:tblW w:type="auto" w:w="0"/>
        <w:jc w:val="center"/>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50" w:type="dxa"/>
          <w:left w:w="80" w:type="dxa"/>
          <w:bottom w:w="50" w:type="dxa"/>
          <w:right w:w="80" w:type="dxa"/>
        </w:tblCellMar>
        <w:tblLayout w:type="fixed"/>
      </w:tblPr>
      <w:tblGrid>
        <w:gridCol w:w="3514"/>
        <w:gridCol w:w="4308"/>
        <w:gridCol w:w="1814"/>
      </w:tblGrid>
      <w:tr>
        <w:trPr>
          <w:tblHeader w:val="true"/>
        </w:trPr>
        <w:tc>
          <w:tcPr>
            <w:tcW w:type="dxa" w:w="3515"/>
            <w:vAlign w:val="center"/>
            <w:shd w:val="clear" w:color="auto" w:fill="0F2A3D"/>
          </w:tcPr>
          <w:p>
            <w:pPr>
              <w:spacing w:after="0" w:before="0"/>
            </w:pPr>
            <w:r/>
            <w:r>
              <w:rPr>
                <w:b/>
                <w:i w:val="0"/>
                <w:color w:val="FFFFFF"/>
                <w:sz w:val="18"/>
              </w:rPr>
              <w:t>Item</w:t>
            </w:r>
          </w:p>
        </w:tc>
        <w:tc>
          <w:tcPr>
            <w:tcW w:type="dxa" w:w="4309"/>
            <w:vAlign w:val="center"/>
            <w:shd w:val="clear" w:color="auto" w:fill="0F2A3D"/>
          </w:tcPr>
          <w:p>
            <w:pPr>
              <w:spacing w:after="0" w:before="0"/>
            </w:pPr>
            <w:r/>
            <w:r>
              <w:rPr>
                <w:b/>
                <w:i w:val="0"/>
                <w:color w:val="FFFFFF"/>
                <w:sz w:val="18"/>
              </w:rPr>
              <w:t>Result</w:t>
            </w:r>
          </w:p>
        </w:tc>
        <w:tc>
          <w:tcPr>
            <w:tcW w:type="dxa" w:w="1814"/>
            <w:vAlign w:val="center"/>
            <w:shd w:val="clear" w:color="auto" w:fill="0F2A3D"/>
          </w:tcPr>
          <w:p>
            <w:pPr>
              <w:spacing w:after="0" w:before="0"/>
            </w:pPr>
            <w:r/>
            <w:r>
              <w:rPr>
                <w:b/>
                <w:i w:val="0"/>
                <w:color w:val="FFFFFF"/>
                <w:sz w:val="18"/>
              </w:rPr>
              <w:t>Status</w:t>
            </w:r>
          </w:p>
        </w:tc>
      </w:tr>
      <w:tr>
        <w:trPr>
          <w:cantSplit w:val="true"/>
        </w:trPr>
        <w:tc>
          <w:tcPr>
            <w:tcW w:type="dxa" w:w="3515"/>
            <w:vAlign w:val="top"/>
            <w:shd w:val="clear" w:color="auto" w:fill="EAF1F4"/>
          </w:tcPr>
          <w:p>
            <w:pPr>
              <w:spacing w:after="0" w:before="0"/>
            </w:pPr>
            <w:r/>
            <w:r>
              <w:rPr>
                <w:b w:val="0"/>
                <w:i w:val="0"/>
                <w:sz w:val="18"/>
              </w:rPr>
              <w:t>Locked learning rate 5e-4: branch A below the matched no-branch control G</w:t>
            </w:r>
          </w:p>
        </w:tc>
        <w:tc>
          <w:tcPr>
            <w:tcW w:type="dxa" w:w="4309"/>
            <w:vAlign w:val="top"/>
            <w:shd w:val="clear" w:color="auto" w:fill="EAF1F4"/>
          </w:tcPr>
          <w:p>
            <w:pPr>
              <w:spacing w:after="0" w:before="0"/>
            </w:pPr>
            <w:r/>
            <w:r>
              <w:rPr>
                <w:b w:val="0"/>
                <w:i w:val="0"/>
                <w:sz w:val="18"/>
              </w:rPr>
              <w:t>CIFAR-100: -1.16 points; Tiny-ImageNet: -1.67 points</w:t>
            </w:r>
          </w:p>
        </w:tc>
        <w:tc>
          <w:tcPr>
            <w:tcW w:type="dxa" w:w="1814"/>
            <w:vAlign w:val="top"/>
            <w:shd w:val="clear" w:color="auto" w:fill="EAF1F4"/>
          </w:tcPr>
          <w:p>
            <w:pPr>
              <w:spacing w:after="0" w:before="0"/>
            </w:pPr>
            <w:r/>
            <w:r>
              <w:rPr>
                <w:b w:val="0"/>
                <w:i w:val="0"/>
                <w:sz w:val="18"/>
              </w:rPr>
              <w:t>Confirmatory</w:t>
            </w:r>
          </w:p>
        </w:tc>
      </w:tr>
      <w:tr>
        <w:trPr>
          <w:cantSplit w:val="true"/>
        </w:trPr>
        <w:tc>
          <w:tcPr>
            <w:tcW w:type="dxa" w:w="3515"/>
            <w:vAlign w:val="top"/>
          </w:tcPr>
          <w:p>
            <w:pPr>
              <w:spacing w:after="0" w:before="0"/>
            </w:pPr>
            <w:r/>
            <w:r>
              <w:rPr>
                <w:b w:val="0"/>
                <w:i w:val="0"/>
                <w:sz w:val="18"/>
              </w:rPr>
              <w:t>Each arm at its selected rate (A 2.5e-4, G 5e-4)</w:t>
            </w:r>
          </w:p>
        </w:tc>
        <w:tc>
          <w:tcPr>
            <w:tcW w:type="dxa" w:w="4309"/>
            <w:vAlign w:val="top"/>
          </w:tcPr>
          <w:p>
            <w:pPr>
              <w:spacing w:after="0" w:before="0"/>
            </w:pPr>
            <w:r/>
            <w:r>
              <w:rPr>
                <w:b w:val="0"/>
                <w:i w:val="0"/>
                <w:sz w:val="18"/>
              </w:rPr>
              <w:t>CIFAR-100: +0.39, interval includes zero; Tiny-ImageNet: -1.04</w:t>
            </w:r>
          </w:p>
        </w:tc>
        <w:tc>
          <w:tcPr>
            <w:tcW w:type="dxa" w:w="1814"/>
            <w:vAlign w:val="top"/>
          </w:tcPr>
          <w:p>
            <w:pPr>
              <w:spacing w:after="0" w:before="0"/>
            </w:pPr>
            <w:r/>
            <w:r>
              <w:rPr>
                <w:b w:val="0"/>
                <w:i w:val="0"/>
                <w:sz w:val="18"/>
              </w:rPr>
              <w:t>Exploratory</w:t>
            </w:r>
          </w:p>
        </w:tc>
      </w:tr>
      <w:tr>
        <w:trPr>
          <w:cantSplit w:val="true"/>
        </w:trPr>
        <w:tc>
          <w:tcPr>
            <w:tcW w:type="dxa" w:w="3515"/>
            <w:vAlign w:val="top"/>
            <w:shd w:val="clear" w:color="auto" w:fill="EAF1F4"/>
          </w:tcPr>
          <w:p>
            <w:pPr>
              <w:spacing w:after="0" w:before="0"/>
            </w:pPr>
            <w:r/>
            <w:r>
              <w:rPr>
                <w:b w:val="0"/>
                <w:i w:val="0"/>
                <w:sz w:val="18"/>
              </w:rPr>
              <w:t>Common rate 2.5e-4</w:t>
            </w:r>
          </w:p>
        </w:tc>
        <w:tc>
          <w:tcPr>
            <w:tcW w:type="dxa" w:w="4309"/>
            <w:vAlign w:val="top"/>
            <w:shd w:val="clear" w:color="auto" w:fill="EAF1F4"/>
          </w:tcPr>
          <w:p>
            <w:pPr>
              <w:spacing w:after="0" w:before="0"/>
            </w:pPr>
            <w:r/>
            <w:r>
              <w:rPr>
                <w:b w:val="0"/>
                <w:i w:val="0"/>
                <w:sz w:val="18"/>
              </w:rPr>
              <w:t>CIFAR-100: +0.76 (only 'above zero' is stated); Tiny-ImageNet: +0.14, inconclusive</w:t>
            </w:r>
          </w:p>
        </w:tc>
        <w:tc>
          <w:tcPr>
            <w:tcW w:type="dxa" w:w="1814"/>
            <w:vAlign w:val="top"/>
            <w:shd w:val="clear" w:color="auto" w:fill="EAF1F4"/>
          </w:tcPr>
          <w:p>
            <w:pPr>
              <w:spacing w:after="0" w:before="0"/>
            </w:pPr>
            <w:r/>
            <w:r>
              <w:rPr>
                <w:b w:val="0"/>
                <w:i w:val="0"/>
                <w:sz w:val="18"/>
              </w:rPr>
              <w:t>Exploratory</w:t>
            </w:r>
          </w:p>
        </w:tc>
      </w:tr>
      <w:tr>
        <w:trPr>
          <w:cantSplit w:val="true"/>
        </w:trPr>
        <w:tc>
          <w:tcPr>
            <w:tcW w:type="dxa" w:w="3515"/>
            <w:vAlign w:val="top"/>
          </w:tcPr>
          <w:p>
            <w:pPr>
              <w:spacing w:after="0" w:before="0"/>
            </w:pPr>
            <w:r/>
            <w:r>
              <w:rPr>
                <w:b w:val="0"/>
                <w:i w:val="0"/>
                <w:sz w:val="18"/>
              </w:rPr>
              <w:t>Swin sized to the branch's MACs</w:t>
            </w:r>
          </w:p>
        </w:tc>
        <w:tc>
          <w:tcPr>
            <w:tcW w:type="dxa" w:w="4309"/>
            <w:vAlign w:val="top"/>
          </w:tcPr>
          <w:p>
            <w:pPr>
              <w:spacing w:after="0" w:before="0"/>
            </w:pPr>
            <w:r/>
            <w:r>
              <w:rPr>
                <w:b w:val="0"/>
                <w:i w:val="0"/>
                <w:sz w:val="18"/>
              </w:rPr>
              <w:t>Above the branch at the locked rate; no robust advantage of the branch over a plain Swin</w:t>
            </w:r>
          </w:p>
        </w:tc>
        <w:tc>
          <w:tcPr>
            <w:tcW w:type="dxa" w:w="1814"/>
            <w:vAlign w:val="top"/>
          </w:tcPr>
          <w:p>
            <w:pPr>
              <w:spacing w:after="0" w:before="0"/>
            </w:pPr>
            <w:r/>
            <w:r>
              <w:rPr>
                <w:b w:val="0"/>
                <w:i w:val="0"/>
                <w:sz w:val="18"/>
              </w:rPr>
              <w:t>Confirmatory (backbone comparison)</w:t>
            </w:r>
          </w:p>
        </w:tc>
      </w:tr>
      <w:tr>
        <w:trPr>
          <w:cantSplit w:val="true"/>
        </w:trPr>
        <w:tc>
          <w:tcPr>
            <w:tcW w:type="dxa" w:w="3515"/>
            <w:vAlign w:val="top"/>
            <w:shd w:val="clear" w:color="auto" w:fill="EAF1F4"/>
          </w:tcPr>
          <w:p>
            <w:pPr>
              <w:spacing w:after="0" w:before="0"/>
            </w:pPr>
            <w:r/>
            <w:r>
              <w:rPr>
                <w:b w:val="0"/>
                <w:i w:val="0"/>
                <w:sz w:val="18"/>
              </w:rPr>
              <w:t>Released no-aux checkpoint</w:t>
            </w:r>
          </w:p>
        </w:tc>
        <w:tc>
          <w:tcPr>
            <w:tcW w:type="dxa" w:w="4309"/>
            <w:vAlign w:val="top"/>
            <w:shd w:val="clear" w:color="auto" w:fill="EAF1F4"/>
          </w:tcPr>
          <w:p>
            <w:pPr>
              <w:spacing w:after="0" w:before="0"/>
            </w:pPr>
            <w:r/>
            <w:r>
              <w:rPr>
                <w:b w:val="0"/>
                <w:i w:val="0"/>
                <w:sz w:val="18"/>
              </w:rPr>
              <w:t>Evaluates to 75.20, not the logged 74.15</w:t>
            </w:r>
          </w:p>
        </w:tc>
        <w:tc>
          <w:tcPr>
            <w:tcW w:type="dxa" w:w="1814"/>
            <w:vAlign w:val="top"/>
            <w:shd w:val="clear" w:color="auto" w:fill="EAF1F4"/>
          </w:tcPr>
          <w:p>
            <w:pPr>
              <w:spacing w:after="0" w:before="0"/>
            </w:pPr>
            <w:r/>
            <w:r>
              <w:rPr>
                <w:b w:val="0"/>
                <w:i w:val="0"/>
                <w:sz w:val="18"/>
              </w:rPr>
              <w:t>Measured</w:t>
            </w:r>
          </w:p>
        </w:tc>
      </w:tr>
      <w:tr>
        <w:trPr>
          <w:cantSplit w:val="true"/>
        </w:trPr>
        <w:tc>
          <w:tcPr>
            <w:tcW w:type="dxa" w:w="3515"/>
            <w:vAlign w:val="top"/>
          </w:tcPr>
          <w:p>
            <w:pPr>
              <w:spacing w:after="0" w:before="0"/>
            </w:pPr>
            <w:r/>
            <w:r>
              <w:rPr>
                <w:b w:val="0"/>
                <w:i w:val="0"/>
                <w:sz w:val="18"/>
              </w:rPr>
              <w:t>'Validation' set in the minor repository</w:t>
            </w:r>
          </w:p>
        </w:tc>
        <w:tc>
          <w:tcPr>
            <w:tcW w:type="dxa" w:w="4309"/>
            <w:vAlign w:val="top"/>
          </w:tcPr>
          <w:p>
            <w:pPr>
              <w:spacing w:after="0" w:before="0"/>
            </w:pPr>
            <w:r/>
            <w:r>
              <w:rPr>
                <w:b w:val="0"/>
                <w:i w:val="0"/>
                <w:sz w:val="18"/>
              </w:rPr>
              <w:t>Is the CIFAR-100 test split, with best-epoch selection</w:t>
            </w:r>
          </w:p>
        </w:tc>
        <w:tc>
          <w:tcPr>
            <w:tcW w:type="dxa" w:w="1814"/>
            <w:vAlign w:val="top"/>
          </w:tcPr>
          <w:p>
            <w:pPr>
              <w:spacing w:after="0" w:before="0"/>
            </w:pPr>
            <w:r/>
            <w:r>
              <w:rPr>
                <w:b w:val="0"/>
                <w:i w:val="0"/>
                <w:sz w:val="18"/>
              </w:rPr>
              <w:t>Measured (code reading)</w:t>
            </w:r>
          </w:p>
        </w:tc>
      </w:tr>
      <w:tr>
        <w:trPr>
          <w:cantSplit w:val="true"/>
        </w:trPr>
        <w:tc>
          <w:tcPr>
            <w:tcW w:type="dxa" w:w="3515"/>
            <w:vAlign w:val="top"/>
            <w:shd w:val="clear" w:color="auto" w:fill="EAF1F4"/>
          </w:tcPr>
          <w:p>
            <w:pPr>
              <w:spacing w:after="0" w:before="0"/>
            </w:pPr>
            <w:r/>
            <w:r>
              <w:rPr>
                <w:b w:val="0"/>
                <w:i w:val="0"/>
                <w:sz w:val="18"/>
              </w:rPr>
              <w:t>Parameter cost of the grouping path</w:t>
            </w:r>
          </w:p>
        </w:tc>
        <w:tc>
          <w:tcPr>
            <w:tcW w:type="dxa" w:w="4309"/>
            <w:vAlign w:val="top"/>
            <w:shd w:val="clear" w:color="auto" w:fill="EAF1F4"/>
          </w:tcPr>
          <w:p>
            <w:pPr>
              <w:spacing w:after="0" w:before="0"/>
            </w:pPr>
            <w:r/>
            <w:r>
              <w:rPr>
                <w:b w:val="0"/>
                <w:i w:val="0"/>
                <w:sz w:val="18"/>
              </w:rPr>
              <w:t>Routing head 0.0069M; whole macro path 3.12M (9.4% of the model), 0.139 GMACs (6.3%)</w:t>
            </w:r>
          </w:p>
        </w:tc>
        <w:tc>
          <w:tcPr>
            <w:tcW w:type="dxa" w:w="1814"/>
            <w:vAlign w:val="top"/>
            <w:shd w:val="clear" w:color="auto" w:fill="EAF1F4"/>
          </w:tcPr>
          <w:p>
            <w:pPr>
              <w:spacing w:after="0" w:before="0"/>
            </w:pPr>
            <w:r/>
            <w:r>
              <w:rPr>
                <w:b w:val="0"/>
                <w:i w:val="0"/>
                <w:sz w:val="18"/>
              </w:rPr>
              <w:t>Measured</w:t>
            </w:r>
          </w:p>
        </w:tc>
      </w:tr>
    </w:tbl>
    <w:p>
      <w:pPr>
        <w:spacing w:after="160"/>
      </w:pPr>
      <w:r>
        <w:rPr>
          <w:b w:val="0"/>
          <w:i/>
          <w:color w:val="5B6B77"/>
          <w:sz w:val="18"/>
        </w:rPr>
        <w:t>Table 1. Findings of the compute-matched audit (private draft v13) and its erratum for the minor project. Accuracy differences are in percentage points.</w:t>
      </w:r>
    </w:p>
    <w:p>
      <w:pPr>
        <w:pStyle w:val="Heading1"/>
      </w:pPr>
      <w:r>
        <w:t>2. Problem statement and research questions</w:t>
      </w:r>
    </w:p>
    <w:p>
      <w:pPr>
        <w:jc w:val="both"/>
      </w:pPr>
      <w:r>
        <w:rPr>
          <w:b w:val="0"/>
          <w:i w:val="0"/>
        </w:rPr>
        <w:t>Problem statement. It is unknown whether the benefit sometimes seen for learned sparse token grouping comes from the grouping itself, or from extra capacity, tuning and recipe effects, and whether the emergent regions it produces are quantitatively meaningful.</w:t>
      </w:r>
    </w:p>
    <w:tbl>
      <w:tblPr>
        <w:tblW w:type="auto" w:w="0"/>
        <w:jc w:val="center"/>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50" w:type="dxa"/>
          <w:left w:w="80" w:type="dxa"/>
          <w:bottom w:w="50" w:type="dxa"/>
          <w:right w:w="80" w:type="dxa"/>
        </w:tblCellMar>
        <w:tblLayout w:type="fixed"/>
      </w:tblPr>
      <w:tblGrid>
        <w:gridCol w:w="907"/>
        <w:gridCol w:w="8730"/>
      </w:tblGrid>
      <w:tr>
        <w:trPr>
          <w:tblHeader w:val="true"/>
        </w:trPr>
        <w:tc>
          <w:tcPr>
            <w:tcW w:type="dxa" w:w="907"/>
            <w:vAlign w:val="center"/>
            <w:shd w:val="clear" w:color="auto" w:fill="0F2A3D"/>
          </w:tcPr>
          <w:p>
            <w:pPr>
              <w:spacing w:after="0" w:before="0"/>
            </w:pPr>
            <w:r/>
            <w:r>
              <w:rPr>
                <w:b/>
                <w:i w:val="0"/>
                <w:color w:val="FFFFFF"/>
                <w:sz w:val="19"/>
              </w:rPr>
              <w:t>ID</w:t>
            </w:r>
          </w:p>
        </w:tc>
        <w:tc>
          <w:tcPr>
            <w:tcW w:type="dxa" w:w="8731"/>
            <w:vAlign w:val="center"/>
            <w:shd w:val="clear" w:color="auto" w:fill="0F2A3D"/>
          </w:tcPr>
          <w:p>
            <w:pPr>
              <w:spacing w:after="0" w:before="0"/>
            </w:pPr>
            <w:r/>
            <w:r>
              <w:rPr>
                <w:b/>
                <w:i w:val="0"/>
                <w:color w:val="FFFFFF"/>
                <w:sz w:val="19"/>
              </w:rPr>
              <w:t>Research question</w:t>
            </w:r>
          </w:p>
        </w:tc>
      </w:tr>
      <w:tr>
        <w:trPr>
          <w:cantSplit w:val="true"/>
        </w:trPr>
        <w:tc>
          <w:tcPr>
            <w:tcW w:type="dxa" w:w="907"/>
            <w:vAlign w:val="top"/>
            <w:shd w:val="clear" w:color="auto" w:fill="EAF1F4"/>
          </w:tcPr>
          <w:p>
            <w:pPr>
              <w:spacing w:after="0" w:before="0"/>
            </w:pPr>
            <w:r/>
            <w:r>
              <w:rPr>
                <w:b/>
                <w:i w:val="0"/>
                <w:sz w:val="19"/>
              </w:rPr>
              <w:t>RQ1</w:t>
            </w:r>
          </w:p>
        </w:tc>
        <w:tc>
          <w:tcPr>
            <w:tcW w:type="dxa" w:w="8731"/>
            <w:vAlign w:val="top"/>
            <w:shd w:val="clear" w:color="auto" w:fill="EAF1F4"/>
          </w:tcPr>
          <w:p>
            <w:pPr>
              <w:spacing w:after="0" w:before="0"/>
            </w:pPr>
            <w:r/>
            <w:r>
              <w:rPr>
                <w:b w:val="0"/>
                <w:i w:val="0"/>
                <w:sz w:val="19"/>
              </w:rPr>
              <w:t>Does learned top-k routing beat capacity controls (input-independent slots, frozen random routers, fixed block routing) at matched parameters and MACs, with every arm tuned?</w:t>
            </w:r>
          </w:p>
        </w:tc>
      </w:tr>
      <w:tr>
        <w:trPr>
          <w:cantSplit w:val="true"/>
        </w:trPr>
        <w:tc>
          <w:tcPr>
            <w:tcW w:type="dxa" w:w="907"/>
            <w:vAlign w:val="top"/>
          </w:tcPr>
          <w:p>
            <w:pPr>
              <w:spacing w:after="0" w:before="0"/>
            </w:pPr>
            <w:r/>
            <w:r>
              <w:rPr>
                <w:b/>
                <w:i w:val="0"/>
                <w:sz w:val="19"/>
              </w:rPr>
              <w:t>RQ2</w:t>
            </w:r>
          </w:p>
        </w:tc>
        <w:tc>
          <w:tcPr>
            <w:tcW w:type="dxa" w:w="8731"/>
            <w:vAlign w:val="top"/>
          </w:tcPr>
          <w:p>
            <w:pPr>
              <w:spacing w:after="0" w:before="0"/>
            </w:pPr>
            <w:r/>
            <w:r>
              <w:rPr>
                <w:b w:val="0"/>
                <w:i w:val="0"/>
                <w:sz w:val="19"/>
              </w:rPr>
              <w:t>Does any advantage persist beyond 64x64, on ImageNet-100?</w:t>
            </w:r>
          </w:p>
        </w:tc>
      </w:tr>
      <w:tr>
        <w:trPr>
          <w:cantSplit w:val="true"/>
        </w:trPr>
        <w:tc>
          <w:tcPr>
            <w:tcW w:type="dxa" w:w="907"/>
            <w:vAlign w:val="top"/>
            <w:shd w:val="clear" w:color="auto" w:fill="EAF1F4"/>
          </w:tcPr>
          <w:p>
            <w:pPr>
              <w:spacing w:after="0" w:before="0"/>
            </w:pPr>
            <w:r/>
            <w:r>
              <w:rPr>
                <w:b/>
                <w:i w:val="0"/>
                <w:sz w:val="19"/>
              </w:rPr>
              <w:t>RQ3</w:t>
            </w:r>
          </w:p>
        </w:tc>
        <w:tc>
          <w:tcPr>
            <w:tcW w:type="dxa" w:w="8731"/>
            <w:vAlign w:val="top"/>
            <w:shd w:val="clear" w:color="auto" w:fill="EAF1F4"/>
          </w:tcPr>
          <w:p>
            <w:pPr>
              <w:spacing w:after="0" w:before="0"/>
            </w:pPr>
            <w:r/>
            <w:r>
              <w:rPr>
                <w:b w:val="0"/>
                <w:i w:val="0"/>
                <w:sz w:val="19"/>
              </w:rPr>
              <w:t>Are macro-regions quantitatively aligned with object masks beyond what a patch grid or superpixels give?</w:t>
            </w:r>
          </w:p>
        </w:tc>
      </w:tr>
      <w:tr>
        <w:trPr>
          <w:cantSplit w:val="true"/>
        </w:trPr>
        <w:tc>
          <w:tcPr>
            <w:tcW w:type="dxa" w:w="907"/>
            <w:vAlign w:val="top"/>
          </w:tcPr>
          <w:p>
            <w:pPr>
              <w:spacing w:after="0" w:before="0"/>
            </w:pPr>
            <w:r/>
            <w:r>
              <w:rPr>
                <w:b/>
                <w:i w:val="0"/>
                <w:sz w:val="19"/>
              </w:rPr>
              <w:t>RQ4</w:t>
            </w:r>
          </w:p>
        </w:tc>
        <w:tc>
          <w:tcPr>
            <w:tcW w:type="dxa" w:w="8731"/>
            <w:vAlign w:val="top"/>
          </w:tcPr>
          <w:p>
            <w:pPr>
              <w:spacing w:after="0" w:before="0"/>
            </w:pPr>
            <w:r/>
            <w:r>
              <w:rPr>
                <w:b w:val="0"/>
                <w:i w:val="0"/>
                <w:sz w:val="19"/>
              </w:rPr>
              <w:t>How many seeds and tuning budget are needed before such conclusions are stable?</w:t>
            </w:r>
          </w:p>
        </w:tc>
      </w:tr>
    </w:tbl>
    <w:p>
      <w:r>
        <w:rPr>
          <w:b w:val="0"/>
          <w:i w:val="0"/>
        </w:rPr>
      </w:r>
    </w:p>
    <w:p>
      <w:r>
        <w:rPr>
          <w:b w:val="0"/>
          <w:i/>
          <w:sz w:val="21"/>
        </w:rPr>
        <w:t>Hypothesis H1 (grouping beats capacity controls) is falsified if the confidence interval of the difference lies within +/-0.5 accuracy points or below zero at tuned rates, the same margin used in the audit.</w:t>
      </w:r>
    </w:p>
    <w:p>
      <w:pPr>
        <w:pStyle w:val="Heading1"/>
      </w:pPr>
      <w:r>
        <w:t>3. Literature survey</w:t>
      </w:r>
    </w:p>
    <w:p>
      <w:pPr>
        <w:jc w:val="both"/>
      </w:pPr>
      <w:r>
        <w:rPr>
          <w:b w:val="0"/>
          <w:i w:val="0"/>
        </w:rPr>
        <w:t>The survey covers 25 works in eight themes: 23 external works from 2025 and 2026 and our own two works. The condensed table below lists every work with its limitation relative to this project. The full table, with technique, setting and key findings, is provided as the separate document 'Literature Survey Table' and reproduced as Annexure A. Entries were written from abstracts and index summaries; full texts of the works central to RO2 and RO4 will be read before Review I.</w:t>
      </w:r>
    </w:p>
    <w:tbl>
      <w:tblPr>
        <w:tblW w:type="auto" w:w="0"/>
        <w:jc w:val="center"/>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50" w:type="dxa"/>
          <w:left w:w="80" w:type="dxa"/>
          <w:bottom w:w="50" w:type="dxa"/>
          <w:right w:w="80" w:type="dxa"/>
        </w:tblCellMar>
        <w:tblLayout w:type="fixed"/>
      </w:tblPr>
      <w:tblGrid>
        <w:gridCol w:w="566"/>
        <w:gridCol w:w="2494"/>
        <w:gridCol w:w="2834"/>
        <w:gridCol w:w="3741"/>
      </w:tblGrid>
      <w:tr>
        <w:trPr>
          <w:tblHeader w:val="true"/>
        </w:trPr>
        <w:tc>
          <w:tcPr>
            <w:tcW w:type="dxa" w:w="567"/>
            <w:vAlign w:val="center"/>
            <w:shd w:val="clear" w:color="auto" w:fill="0F2A3D"/>
          </w:tcPr>
          <w:p>
            <w:pPr>
              <w:spacing w:after="0" w:before="0"/>
            </w:pPr>
            <w:r/>
            <w:r>
              <w:rPr>
                <w:b/>
                <w:i w:val="0"/>
                <w:color w:val="FFFFFF"/>
                <w:sz w:val="17"/>
              </w:rPr>
              <w:t>S.No</w:t>
            </w:r>
          </w:p>
        </w:tc>
        <w:tc>
          <w:tcPr>
            <w:tcW w:type="dxa" w:w="2494"/>
            <w:vAlign w:val="center"/>
            <w:shd w:val="clear" w:color="auto" w:fill="0F2A3D"/>
          </w:tcPr>
          <w:p>
            <w:pPr>
              <w:spacing w:after="0" w:before="0"/>
            </w:pPr>
            <w:r/>
            <w:r>
              <w:rPr>
                <w:b/>
                <w:i w:val="0"/>
                <w:color w:val="FFFFFF"/>
                <w:sz w:val="17"/>
              </w:rPr>
              <w:t>Reference</w:t>
            </w:r>
          </w:p>
        </w:tc>
        <w:tc>
          <w:tcPr>
            <w:tcW w:type="dxa" w:w="2835"/>
            <w:vAlign w:val="center"/>
            <w:shd w:val="clear" w:color="auto" w:fill="0F2A3D"/>
          </w:tcPr>
          <w:p>
            <w:pPr>
              <w:spacing w:after="0" w:before="0"/>
            </w:pPr>
            <w:r/>
            <w:r>
              <w:rPr>
                <w:b/>
                <w:i w:val="0"/>
                <w:color w:val="FFFFFF"/>
                <w:sz w:val="17"/>
              </w:rPr>
              <w:t>Technique</w:t>
            </w:r>
          </w:p>
        </w:tc>
        <w:tc>
          <w:tcPr>
            <w:tcW w:type="dxa" w:w="3742"/>
            <w:vAlign w:val="center"/>
            <w:shd w:val="clear" w:color="auto" w:fill="0F2A3D"/>
          </w:tcPr>
          <w:p>
            <w:pPr>
              <w:spacing w:after="0" w:before="0"/>
            </w:pPr>
            <w:r/>
            <w:r>
              <w:rPr>
                <w:b/>
                <w:i w:val="0"/>
                <w:color w:val="FFFFFF"/>
                <w:sz w:val="17"/>
              </w:rPr>
              <w:t>Limitation / gap</w:t>
            </w:r>
          </w:p>
        </w:tc>
      </w:tr>
      <w:tr>
        <w:trPr>
          <w:cantSplit w:val="true"/>
        </w:trPr>
        <w:tc>
          <w:tcPr>
            <w:tcW w:type="dxa" w:w="567"/>
            <w:vAlign w:val="top"/>
            <w:shd w:val="clear" w:color="auto" w:fill="EAF1F4"/>
          </w:tcPr>
          <w:p>
            <w:pPr>
              <w:spacing w:after="0" w:before="0"/>
            </w:pPr>
            <w:r/>
            <w:r>
              <w:rPr>
                <w:b w:val="0"/>
                <w:i w:val="0"/>
                <w:sz w:val="17"/>
              </w:rPr>
              <w:t>1</w:t>
            </w:r>
          </w:p>
        </w:tc>
        <w:tc>
          <w:tcPr>
            <w:tcW w:type="dxa" w:w="2494"/>
            <w:vAlign w:val="top"/>
            <w:shd w:val="clear" w:color="auto" w:fill="EAF1F4"/>
          </w:tcPr>
          <w:p>
            <w:pPr>
              <w:spacing w:after="0" w:before="0"/>
            </w:pPr>
            <w:r/>
            <w:r>
              <w:rPr>
                <w:b w:val="0"/>
                <w:i w:val="0"/>
                <w:sz w:val="17"/>
              </w:rPr>
              <w:t>Lee et al., Frequency-aware token reduction (NeurIPS 2025)</w:t>
            </w:r>
          </w:p>
        </w:tc>
        <w:tc>
          <w:tcPr>
            <w:tcW w:type="dxa" w:w="2835"/>
            <w:vAlign w:val="top"/>
            <w:shd w:val="clear" w:color="auto" w:fill="EAF1F4"/>
          </w:tcPr>
          <w:p>
            <w:pPr>
              <w:spacing w:after="0" w:before="0"/>
            </w:pPr>
            <w:r/>
            <w:r>
              <w:rPr>
                <w:b w:val="0"/>
                <w:i w:val="0"/>
                <w:sz w:val="17"/>
              </w:rPr>
              <w:t>Token pruning and merging that accounts for the frequency characteristics of self-attention (for example rank collapsing) instead of attention scores alone.</w:t>
            </w:r>
          </w:p>
        </w:tc>
        <w:tc>
          <w:tcPr>
            <w:tcW w:type="dxa" w:w="3742"/>
            <w:vAlign w:val="top"/>
            <w:shd w:val="clear" w:color="auto" w:fill="EAF1F4"/>
          </w:tcPr>
          <w:p>
            <w:pPr>
              <w:spacing w:after="0" w:before="0"/>
            </w:pPr>
            <w:r/>
            <w:r>
              <w:rPr>
                <w:b w:val="0"/>
                <w:i w:val="0"/>
                <w:sz w:val="17"/>
              </w:rPr>
              <w:t>Reduces tokens for efficiency on existing ViTs. It does not test whether learned grouping adds representation value beyond an equal-capacity control, nor the from-scratch small-image regime.</w:t>
            </w:r>
          </w:p>
        </w:tc>
      </w:tr>
      <w:tr>
        <w:trPr>
          <w:cantSplit w:val="true"/>
        </w:trPr>
        <w:tc>
          <w:tcPr>
            <w:tcW w:type="dxa" w:w="567"/>
            <w:vAlign w:val="top"/>
          </w:tcPr>
          <w:p>
            <w:pPr>
              <w:spacing w:after="0" w:before="0"/>
            </w:pPr>
            <w:r/>
            <w:r>
              <w:rPr>
                <w:b w:val="0"/>
                <w:i w:val="0"/>
                <w:sz w:val="17"/>
              </w:rPr>
              <w:t>2</w:t>
            </w:r>
          </w:p>
        </w:tc>
        <w:tc>
          <w:tcPr>
            <w:tcW w:type="dxa" w:w="2494"/>
            <w:vAlign w:val="top"/>
          </w:tcPr>
          <w:p>
            <w:pPr>
              <w:spacing w:after="0" w:before="0"/>
            </w:pPr>
            <w:r/>
            <w:r>
              <w:rPr>
                <w:b w:val="0"/>
                <w:i w:val="0"/>
                <w:sz w:val="17"/>
              </w:rPr>
              <w:t>Xie et al., Saliency-driven token merging (CVPR 2026)</w:t>
            </w:r>
          </w:p>
        </w:tc>
        <w:tc>
          <w:tcPr>
            <w:tcW w:type="dxa" w:w="2835"/>
            <w:vAlign w:val="top"/>
          </w:tcPr>
          <w:p>
            <w:pPr>
              <w:spacing w:after="0" w:before="0"/>
            </w:pPr>
            <w:r/>
            <w:r>
              <w:rPr>
                <w:b w:val="0"/>
                <w:i w:val="0"/>
                <w:sz w:val="17"/>
              </w:rPr>
              <w:t>Training-free merging that combines dynamic attention scores with offline visual saliency, merging 'saliency outlier' tokens.</w:t>
            </w:r>
          </w:p>
        </w:tc>
        <w:tc>
          <w:tcPr>
            <w:tcW w:type="dxa" w:w="3742"/>
            <w:vAlign w:val="top"/>
          </w:tcPr>
          <w:p>
            <w:pPr>
              <w:spacing w:after="0" w:before="0"/>
            </w:pPr>
            <w:r/>
            <w:r>
              <w:rPr>
                <w:b w:val="0"/>
                <w:i w:val="0"/>
                <w:sz w:val="17"/>
              </w:rPr>
              <w:t>Training-free and inference-time: nothing is learned about grouping, so it says nothing about grouping as a trained representation component.</w:t>
            </w:r>
          </w:p>
        </w:tc>
      </w:tr>
      <w:tr>
        <w:trPr>
          <w:cantSplit w:val="true"/>
        </w:trPr>
        <w:tc>
          <w:tcPr>
            <w:tcW w:type="dxa" w:w="567"/>
            <w:vAlign w:val="top"/>
            <w:shd w:val="clear" w:color="auto" w:fill="EAF1F4"/>
          </w:tcPr>
          <w:p>
            <w:pPr>
              <w:spacing w:after="0" w:before="0"/>
            </w:pPr>
            <w:r/>
            <w:r>
              <w:rPr>
                <w:b w:val="0"/>
                <w:i w:val="0"/>
                <w:sz w:val="17"/>
              </w:rPr>
              <w:t>3</w:t>
            </w:r>
          </w:p>
        </w:tc>
        <w:tc>
          <w:tcPr>
            <w:tcW w:type="dxa" w:w="2494"/>
            <w:vAlign w:val="top"/>
            <w:shd w:val="clear" w:color="auto" w:fill="EAF1F4"/>
          </w:tcPr>
          <w:p>
            <w:pPr>
              <w:spacing w:after="0" w:before="0"/>
            </w:pPr>
            <w:r/>
            <w:r>
              <w:rPr>
                <w:b w:val="0"/>
                <w:i w:val="0"/>
                <w:sz w:val="17"/>
              </w:rPr>
              <w:t>Zhou et al., Calibrated scaling for token merging (ICML 2026)</w:t>
            </w:r>
          </w:p>
        </w:tc>
        <w:tc>
          <w:tcPr>
            <w:tcW w:type="dxa" w:w="2835"/>
            <w:vAlign w:val="top"/>
            <w:shd w:val="clear" w:color="auto" w:fill="EAF1F4"/>
          </w:tcPr>
          <w:p>
            <w:pPr>
              <w:spacing w:after="0" w:before="0"/>
            </w:pPr>
            <w:r/>
            <w:r>
              <w:rPr>
                <w:b w:val="0"/>
                <w:i w:val="0"/>
                <w:sz w:val="17"/>
              </w:rPr>
              <w:t>Shows that merging distorts attention outputs and shifts residual-stream statistics, and proposes statistically calibrated scaling to correct it.</w:t>
            </w:r>
          </w:p>
        </w:tc>
        <w:tc>
          <w:tcPr>
            <w:tcW w:type="dxa" w:w="3742"/>
            <w:vAlign w:val="top"/>
            <w:shd w:val="clear" w:color="auto" w:fill="EAF1F4"/>
          </w:tcPr>
          <w:p>
            <w:pPr>
              <w:spacing w:after="0" w:before="0"/>
            </w:pPr>
            <w:r/>
            <w:r>
              <w:rPr>
                <w:b w:val="0"/>
                <w:i w:val="0"/>
                <w:sz w:val="17"/>
              </w:rPr>
              <w:t>Documents the failure mode of merging at high compression. Our design keeps the full micro stream and adds macro tokens, a different trade-off that is not compared.</w:t>
            </w:r>
          </w:p>
        </w:tc>
      </w:tr>
      <w:tr>
        <w:trPr>
          <w:cantSplit w:val="true"/>
        </w:trPr>
        <w:tc>
          <w:tcPr>
            <w:tcW w:type="dxa" w:w="567"/>
            <w:vAlign w:val="top"/>
          </w:tcPr>
          <w:p>
            <w:pPr>
              <w:spacing w:after="0" w:before="0"/>
            </w:pPr>
            <w:r/>
            <w:r>
              <w:rPr>
                <w:b w:val="0"/>
                <w:i w:val="0"/>
                <w:sz w:val="17"/>
              </w:rPr>
              <w:t>4</w:t>
            </w:r>
          </w:p>
        </w:tc>
        <w:tc>
          <w:tcPr>
            <w:tcW w:type="dxa" w:w="2494"/>
            <w:vAlign w:val="top"/>
          </w:tcPr>
          <w:p>
            <w:pPr>
              <w:spacing w:after="0" w:before="0"/>
            </w:pPr>
            <w:r/>
            <w:r>
              <w:rPr>
                <w:b w:val="0"/>
                <w:i w:val="0"/>
                <w:sz w:val="17"/>
              </w:rPr>
              <w:t>Schlesinger et al., SPOT (CVPR 2026 Findings)</w:t>
            </w:r>
          </w:p>
        </w:tc>
        <w:tc>
          <w:tcPr>
            <w:tcW w:type="dxa" w:w="2835"/>
            <w:vAlign w:val="top"/>
          </w:tcPr>
          <w:p>
            <w:pPr>
              <w:spacing w:after="0" w:before="0"/>
            </w:pPr>
            <w:r/>
            <w:r>
              <w:rPr>
                <w:b w:val="0"/>
                <w:i w:val="0"/>
                <w:sz w:val="17"/>
              </w:rPr>
              <w:t>Lightweight plug-and-play framework that uses compact attention representations to prune redundant tokens before attention is computed.</w:t>
            </w:r>
          </w:p>
        </w:tc>
        <w:tc>
          <w:tcPr>
            <w:tcW w:type="dxa" w:w="3742"/>
            <w:vAlign w:val="top"/>
          </w:tcPr>
          <w:p>
            <w:pPr>
              <w:spacing w:after="0" w:before="0"/>
            </w:pPr>
            <w:r/>
            <w:r>
              <w:rPr>
                <w:b w:val="0"/>
                <w:i w:val="0"/>
                <w:sz w:val="17"/>
              </w:rPr>
              <w:t>Pruning discards tokens irreversibly and is aimed at inference cost, not at the question of what learned grouping represents.</w:t>
            </w:r>
          </w:p>
        </w:tc>
      </w:tr>
      <w:tr>
        <w:trPr>
          <w:cantSplit w:val="true"/>
        </w:trPr>
        <w:tc>
          <w:tcPr>
            <w:tcW w:type="dxa" w:w="567"/>
            <w:vAlign w:val="top"/>
            <w:shd w:val="clear" w:color="auto" w:fill="EAF1F4"/>
          </w:tcPr>
          <w:p>
            <w:pPr>
              <w:spacing w:after="0" w:before="0"/>
            </w:pPr>
            <w:r/>
            <w:r>
              <w:rPr>
                <w:b w:val="0"/>
                <w:i w:val="0"/>
                <w:sz w:val="17"/>
              </w:rPr>
              <w:t>5</w:t>
            </w:r>
          </w:p>
        </w:tc>
        <w:tc>
          <w:tcPr>
            <w:tcW w:type="dxa" w:w="2494"/>
            <w:vAlign w:val="top"/>
            <w:shd w:val="clear" w:color="auto" w:fill="EAF1F4"/>
          </w:tcPr>
          <w:p>
            <w:pPr>
              <w:spacing w:after="0" w:before="0"/>
            </w:pPr>
            <w:r/>
            <w:r>
              <w:rPr>
                <w:b w:val="0"/>
                <w:i w:val="0"/>
                <w:sz w:val="17"/>
              </w:rPr>
              <w:t>Wang &amp; Yang, LTM-Transformer (IEEE TPAMI 2025)</w:t>
            </w:r>
          </w:p>
        </w:tc>
        <w:tc>
          <w:tcPr>
            <w:tcW w:type="dxa" w:w="2835"/>
            <w:vAlign w:val="top"/>
            <w:shd w:val="clear" w:color="auto" w:fill="EAF1F4"/>
          </w:tcPr>
          <w:p>
            <w:pPr>
              <w:spacing w:after="0" w:before="0"/>
            </w:pPr>
            <w:r/>
            <w:r>
              <w:rPr>
                <w:b w:val="0"/>
                <w:i w:val="0"/>
                <w:sz w:val="17"/>
              </w:rPr>
              <w:t>Learnable Token Merging (LTM): learned merging of redundant tokens, guided by an information-bottleneck objective.</w:t>
            </w:r>
          </w:p>
        </w:tc>
        <w:tc>
          <w:tcPr>
            <w:tcW w:type="dxa" w:w="3742"/>
            <w:vAlign w:val="top"/>
            <w:shd w:val="clear" w:color="auto" w:fill="EAF1F4"/>
          </w:tcPr>
          <w:p>
            <w:pPr>
              <w:spacing w:after="0" w:before="0"/>
            </w:pPr>
            <w:r/>
            <w:r>
              <w:rPr>
                <w:b w:val="0"/>
                <w:i w:val="0"/>
                <w:sz w:val="17"/>
              </w:rPr>
              <w:t>Closest learned-merging baseline, but we found no usable public implementation: two re-implementation attempts (about 100 GPU-hours) diverged, so it remains an unverified baseline.</w:t>
            </w:r>
          </w:p>
        </w:tc>
      </w:tr>
      <w:tr>
        <w:trPr>
          <w:cantSplit w:val="true"/>
        </w:trPr>
        <w:tc>
          <w:tcPr>
            <w:tcW w:type="dxa" w:w="567"/>
            <w:vAlign w:val="top"/>
          </w:tcPr>
          <w:p>
            <w:pPr>
              <w:spacing w:after="0" w:before="0"/>
            </w:pPr>
            <w:r/>
            <w:r>
              <w:rPr>
                <w:b w:val="0"/>
                <w:i w:val="0"/>
                <w:sz w:val="17"/>
              </w:rPr>
              <w:t>6</w:t>
            </w:r>
          </w:p>
        </w:tc>
        <w:tc>
          <w:tcPr>
            <w:tcW w:type="dxa" w:w="2494"/>
            <w:vAlign w:val="top"/>
          </w:tcPr>
          <w:p>
            <w:pPr>
              <w:spacing w:after="0" w:before="0"/>
            </w:pPr>
            <w:r/>
            <w:r>
              <w:rPr>
                <w:b w:val="0"/>
                <w:i w:val="0"/>
                <w:sz w:val="17"/>
              </w:rPr>
              <w:t>Yu et al., Stepwise patch merging (IJCAI 2025)</w:t>
            </w:r>
          </w:p>
        </w:tc>
        <w:tc>
          <w:tcPr>
            <w:tcW w:type="dxa" w:w="2835"/>
            <w:vAlign w:val="top"/>
          </w:tcPr>
          <w:p>
            <w:pPr>
              <w:spacing w:after="0" w:before="0"/>
            </w:pPr>
            <w:r/>
            <w:r>
              <w:rPr>
                <w:b w:val="0"/>
                <w:i w:val="0"/>
                <w:sz w:val="17"/>
              </w:rPr>
              <w:t>Replaces the rigid fixed-grid down-sampling (for example strided convolution) of hierarchical ViTs with a brain-inspired, stepwise patch-merging scheme.</w:t>
            </w:r>
          </w:p>
        </w:tc>
        <w:tc>
          <w:tcPr>
            <w:tcW w:type="dxa" w:w="3742"/>
            <w:vAlign w:val="top"/>
          </w:tcPr>
          <w:p>
            <w:pPr>
              <w:spacing w:after="0" w:before="0"/>
            </w:pPr>
            <w:r/>
            <w:r>
              <w:rPr>
                <w:b w:val="0"/>
                <w:i w:val="0"/>
                <w:sz w:val="17"/>
              </w:rPr>
              <w:t>Still a designed merging schedule rather than content-driven grouping; a relevant member of the Swin-style comparator family for RO2.</w:t>
            </w:r>
          </w:p>
        </w:tc>
      </w:tr>
      <w:tr>
        <w:trPr>
          <w:cantSplit w:val="true"/>
        </w:trPr>
        <w:tc>
          <w:tcPr>
            <w:tcW w:type="dxa" w:w="567"/>
            <w:vAlign w:val="top"/>
            <w:shd w:val="clear" w:color="auto" w:fill="EAF1F4"/>
          </w:tcPr>
          <w:p>
            <w:pPr>
              <w:spacing w:after="0" w:before="0"/>
            </w:pPr>
            <w:r/>
            <w:r>
              <w:rPr>
                <w:b w:val="0"/>
                <w:i w:val="0"/>
                <w:sz w:val="17"/>
              </w:rPr>
              <w:t>7</w:t>
            </w:r>
          </w:p>
        </w:tc>
        <w:tc>
          <w:tcPr>
            <w:tcW w:type="dxa" w:w="2494"/>
            <w:vAlign w:val="top"/>
            <w:shd w:val="clear" w:color="auto" w:fill="EAF1F4"/>
          </w:tcPr>
          <w:p>
            <w:pPr>
              <w:spacing w:after="0" w:before="0"/>
            </w:pPr>
            <w:r/>
            <w:r>
              <w:rPr>
                <w:b w:val="0"/>
                <w:i w:val="0"/>
                <w:sz w:val="17"/>
              </w:rPr>
              <w:t>Yin et al., DART (arXiv 2025)</w:t>
            </w:r>
          </w:p>
        </w:tc>
        <w:tc>
          <w:tcPr>
            <w:tcW w:type="dxa" w:w="2835"/>
            <w:vAlign w:val="top"/>
            <w:shd w:val="clear" w:color="auto" w:fill="EAF1F4"/>
          </w:tcPr>
          <w:p>
            <w:pPr>
              <w:spacing w:after="0" w:before="0"/>
            </w:pPr>
            <w:r/>
            <w:r>
              <w:rPr>
                <w:b w:val="0"/>
                <w:i w:val="0"/>
                <w:sz w:val="17"/>
              </w:rPr>
              <w:t>Fully differentiable tokenizer that forms dynamic, content-adaptive regions in place of the fixed-grid tokenizer of ViT and Vision Mamba.</w:t>
            </w:r>
          </w:p>
        </w:tc>
        <w:tc>
          <w:tcPr>
            <w:tcW w:type="dxa" w:w="3742"/>
            <w:vAlign w:val="top"/>
            <w:shd w:val="clear" w:color="auto" w:fill="EAF1F4"/>
          </w:tcPr>
          <w:p>
            <w:pPr>
              <w:spacing w:after="0" w:before="0"/>
            </w:pPr>
            <w:r/>
            <w:r>
              <w:rPr>
                <w:b w:val="0"/>
                <w:i w:val="0"/>
                <w:sz w:val="17"/>
              </w:rPr>
              <w:t>Adapts tokenization at the input; our branch groups tokens mid-network. Neither has been compared under matched capacity and per-arm tuning.</w:t>
            </w:r>
          </w:p>
        </w:tc>
      </w:tr>
      <w:tr>
        <w:trPr>
          <w:cantSplit w:val="true"/>
        </w:trPr>
        <w:tc>
          <w:tcPr>
            <w:tcW w:type="dxa" w:w="567"/>
            <w:vAlign w:val="top"/>
          </w:tcPr>
          <w:p>
            <w:pPr>
              <w:spacing w:after="0" w:before="0"/>
            </w:pPr>
            <w:r/>
            <w:r>
              <w:rPr>
                <w:b w:val="0"/>
                <w:i w:val="0"/>
                <w:sz w:val="17"/>
              </w:rPr>
              <w:t>8</w:t>
            </w:r>
          </w:p>
        </w:tc>
        <w:tc>
          <w:tcPr>
            <w:tcW w:type="dxa" w:w="2494"/>
            <w:vAlign w:val="top"/>
          </w:tcPr>
          <w:p>
            <w:pPr>
              <w:spacing w:after="0" w:before="0"/>
            </w:pPr>
            <w:r/>
            <w:r>
              <w:rPr>
                <w:b w:val="0"/>
                <w:i w:val="0"/>
                <w:sz w:val="17"/>
              </w:rPr>
              <w:t>Duggal et al., Adaptive-length tokenization (ICLR 2025)</w:t>
            </w:r>
          </w:p>
        </w:tc>
        <w:tc>
          <w:tcPr>
            <w:tcW w:type="dxa" w:w="2835"/>
            <w:vAlign w:val="top"/>
          </w:tcPr>
          <w:p>
            <w:pPr>
              <w:spacing w:after="0" w:before="0"/>
            </w:pPr>
            <w:r/>
            <w:r>
              <w:rPr>
                <w:b w:val="0"/>
                <w:i w:val="0"/>
                <w:sz w:val="17"/>
              </w:rPr>
              <w:t>Learns variable-length token representations for 2D images, allocating more tokens to higher-entropy content.</w:t>
            </w:r>
          </w:p>
        </w:tc>
        <w:tc>
          <w:tcPr>
            <w:tcW w:type="dxa" w:w="3742"/>
            <w:vAlign w:val="top"/>
          </w:tcPr>
          <w:p>
            <w:pPr>
              <w:spacing w:after="0" w:before="0"/>
            </w:pPr>
            <w:r/>
            <w:r>
              <w:rPr>
                <w:b w:val="0"/>
                <w:i w:val="0"/>
                <w:sz w:val="17"/>
              </w:rPr>
              <w:t>Motivates content-dependent granularity, but in a tokenizer setting; our minor project's 'dynamic K' claim failed verification, so this question is open for classifiers.</w:t>
            </w:r>
          </w:p>
        </w:tc>
      </w:tr>
      <w:tr>
        <w:trPr>
          <w:cantSplit w:val="true"/>
        </w:trPr>
        <w:tc>
          <w:tcPr>
            <w:tcW w:type="dxa" w:w="567"/>
            <w:vAlign w:val="top"/>
            <w:shd w:val="clear" w:color="auto" w:fill="EAF1F4"/>
          </w:tcPr>
          <w:p>
            <w:pPr>
              <w:spacing w:after="0" w:before="0"/>
            </w:pPr>
            <w:r/>
            <w:r>
              <w:rPr>
                <w:b w:val="0"/>
                <w:i w:val="0"/>
                <w:sz w:val="17"/>
              </w:rPr>
              <w:t>9</w:t>
            </w:r>
          </w:p>
        </w:tc>
        <w:tc>
          <w:tcPr>
            <w:tcW w:type="dxa" w:w="2494"/>
            <w:vAlign w:val="top"/>
            <w:shd w:val="clear" w:color="auto" w:fill="EAF1F4"/>
          </w:tcPr>
          <w:p>
            <w:pPr>
              <w:spacing w:after="0" w:before="0"/>
            </w:pPr>
            <w:r/>
            <w:r>
              <w:rPr>
                <w:b w:val="0"/>
                <w:i w:val="0"/>
                <w:sz w:val="17"/>
              </w:rPr>
              <w:t>Khadka et al., CoSwin (arXiv 2025)</w:t>
            </w:r>
          </w:p>
        </w:tc>
        <w:tc>
          <w:tcPr>
            <w:tcW w:type="dxa" w:w="2835"/>
            <w:vAlign w:val="top"/>
            <w:shd w:val="clear" w:color="auto" w:fill="EAF1F4"/>
          </w:tcPr>
          <w:p>
            <w:pPr>
              <w:spacing w:after="0" w:before="0"/>
            </w:pPr>
            <w:r/>
            <w:r>
              <w:rPr>
                <w:b w:val="0"/>
                <w:i w:val="0"/>
                <w:sz w:val="17"/>
              </w:rPr>
              <w:t>Adds convolutional locality to a hierarchical shifted-window ViT for small datasets.</w:t>
            </w:r>
          </w:p>
        </w:tc>
        <w:tc>
          <w:tcPr>
            <w:tcW w:type="dxa" w:w="3742"/>
            <w:vAlign w:val="top"/>
            <w:shd w:val="clear" w:color="auto" w:fill="EAF1F4"/>
          </w:tcPr>
          <w:p>
            <w:pPr>
              <w:spacing w:after="0" w:before="0"/>
            </w:pPr>
            <w:r/>
            <w:r>
              <w:rPr>
                <w:b w:val="0"/>
                <w:i w:val="0"/>
                <w:sz w:val="17"/>
              </w:rPr>
              <w:t>Same small-data regime as ours, with a hand-designed prior. It is a relevant baseline for RO2 and RO3.</w:t>
            </w:r>
          </w:p>
        </w:tc>
      </w:tr>
      <w:tr>
        <w:trPr>
          <w:cantSplit w:val="true"/>
        </w:trPr>
        <w:tc>
          <w:tcPr>
            <w:tcW w:type="dxa" w:w="567"/>
            <w:vAlign w:val="top"/>
          </w:tcPr>
          <w:p>
            <w:pPr>
              <w:spacing w:after="0" w:before="0"/>
            </w:pPr>
            <w:r/>
            <w:r>
              <w:rPr>
                <w:b w:val="0"/>
                <w:i w:val="0"/>
                <w:sz w:val="17"/>
              </w:rPr>
              <w:t>10</w:t>
            </w:r>
          </w:p>
        </w:tc>
        <w:tc>
          <w:tcPr>
            <w:tcW w:type="dxa" w:w="2494"/>
            <w:vAlign w:val="top"/>
          </w:tcPr>
          <w:p>
            <w:pPr>
              <w:spacing w:after="0" w:before="0"/>
            </w:pPr>
            <w:r/>
            <w:r>
              <w:rPr>
                <w:b w:val="0"/>
                <w:i w:val="0"/>
                <w:sz w:val="17"/>
              </w:rPr>
              <w:t>Jiang et al., ViTs don't need trained registers (NeurIPS 2025)</w:t>
            </w:r>
          </w:p>
        </w:tc>
        <w:tc>
          <w:tcPr>
            <w:tcW w:type="dxa" w:w="2835"/>
            <w:vAlign w:val="top"/>
          </w:tcPr>
          <w:p>
            <w:pPr>
              <w:spacing w:after="0" w:before="0"/>
            </w:pPr>
            <w:r/>
            <w:r>
              <w:rPr>
                <w:b w:val="0"/>
                <w:i w:val="0"/>
                <w:sz w:val="17"/>
              </w:rPr>
              <w:t>Traces high-norm outlier tokens (as in CLIP and DINOv2) to a sparse set of neurons and removes the artifact without training registers.</w:t>
            </w:r>
          </w:p>
        </w:tc>
        <w:tc>
          <w:tcPr>
            <w:tcW w:type="dxa" w:w="3742"/>
            <w:vAlign w:val="top"/>
          </w:tcPr>
          <w:p>
            <w:pPr>
              <w:spacing w:after="0" w:before="0"/>
            </w:pPr>
            <w:r/>
            <w:r>
              <w:rPr>
                <w:b w:val="0"/>
                <w:i w:val="0"/>
                <w:sz w:val="17"/>
              </w:rPr>
              <w:t>Shows that register effects have a mechanistic explanation, so our register-style control (arm R) must be interpreted by what extra tokens do, not only by capacity.</w:t>
            </w:r>
          </w:p>
        </w:tc>
      </w:tr>
      <w:tr>
        <w:trPr>
          <w:cantSplit w:val="true"/>
        </w:trPr>
        <w:tc>
          <w:tcPr>
            <w:tcW w:type="dxa" w:w="567"/>
            <w:vAlign w:val="top"/>
            <w:shd w:val="clear" w:color="auto" w:fill="EAF1F4"/>
          </w:tcPr>
          <w:p>
            <w:pPr>
              <w:spacing w:after="0" w:before="0"/>
            </w:pPr>
            <w:r/>
            <w:r>
              <w:rPr>
                <w:b w:val="0"/>
                <w:i w:val="0"/>
                <w:sz w:val="17"/>
              </w:rPr>
              <w:t>11</w:t>
            </w:r>
          </w:p>
        </w:tc>
        <w:tc>
          <w:tcPr>
            <w:tcW w:type="dxa" w:w="2494"/>
            <w:vAlign w:val="top"/>
            <w:shd w:val="clear" w:color="auto" w:fill="EAF1F4"/>
          </w:tcPr>
          <w:p>
            <w:pPr>
              <w:spacing w:after="0" w:before="0"/>
            </w:pPr>
            <w:r/>
            <w:r>
              <w:rPr>
                <w:b w:val="0"/>
                <w:i w:val="0"/>
                <w:sz w:val="17"/>
              </w:rPr>
              <w:t>Yan et al., Self-distilled registers (NeurIPS 2025)</w:t>
            </w:r>
          </w:p>
        </w:tc>
        <w:tc>
          <w:tcPr>
            <w:tcW w:type="dxa" w:w="2835"/>
            <w:vAlign w:val="top"/>
            <w:shd w:val="clear" w:color="auto" w:fill="EAF1F4"/>
          </w:tcPr>
          <w:p>
            <w:pPr>
              <w:spacing w:after="0" w:before="0"/>
            </w:pPr>
            <w:r/>
            <w:r>
              <w:rPr>
                <w:b w:val="0"/>
                <w:i w:val="0"/>
                <w:sz w:val="17"/>
              </w:rPr>
              <w:t>Post-hoc registers: adds register tokens to pretrained ViTs through self-distillation, without full retraining.</w:t>
            </w:r>
          </w:p>
        </w:tc>
        <w:tc>
          <w:tcPr>
            <w:tcW w:type="dxa" w:w="3742"/>
            <w:vAlign w:val="top"/>
            <w:shd w:val="clear" w:color="auto" w:fill="EAF1F4"/>
          </w:tcPr>
          <w:p>
            <w:pPr>
              <w:spacing w:after="0" w:before="0"/>
            </w:pPr>
            <w:r/>
            <w:r>
              <w:rPr>
                <w:b w:val="0"/>
                <w:i w:val="0"/>
                <w:sz w:val="17"/>
              </w:rPr>
              <w:t>Registers are studied in large pretrained ViTs, not in small from-scratch hierarchical models.</w:t>
            </w:r>
          </w:p>
        </w:tc>
      </w:tr>
      <w:tr>
        <w:trPr>
          <w:cantSplit w:val="true"/>
        </w:trPr>
        <w:tc>
          <w:tcPr>
            <w:tcW w:type="dxa" w:w="567"/>
            <w:vAlign w:val="top"/>
          </w:tcPr>
          <w:p>
            <w:pPr>
              <w:spacing w:after="0" w:before="0"/>
            </w:pPr>
            <w:r/>
            <w:r>
              <w:rPr>
                <w:b w:val="0"/>
                <w:i w:val="0"/>
                <w:sz w:val="17"/>
              </w:rPr>
              <w:t>12</w:t>
            </w:r>
          </w:p>
        </w:tc>
        <w:tc>
          <w:tcPr>
            <w:tcW w:type="dxa" w:w="2494"/>
            <w:vAlign w:val="top"/>
          </w:tcPr>
          <w:p>
            <w:pPr>
              <w:spacing w:after="0" w:before="0"/>
            </w:pPr>
            <w:r/>
            <w:r>
              <w:rPr>
                <w:b w:val="0"/>
                <w:i w:val="0"/>
                <w:sz w:val="17"/>
              </w:rPr>
              <w:t>Lappe &amp; Giese, Register and [CLS] tokens (NeurIPS 2025)</w:t>
            </w:r>
          </w:p>
        </w:tc>
        <w:tc>
          <w:tcPr>
            <w:tcW w:type="dxa" w:w="2835"/>
            <w:vAlign w:val="top"/>
          </w:tcPr>
          <w:p>
            <w:pPr>
              <w:spacing w:after="0" w:before="0"/>
            </w:pPr>
            <w:r/>
            <w:r>
              <w:rPr>
                <w:b w:val="0"/>
                <w:i w:val="0"/>
                <w:sz w:val="17"/>
              </w:rPr>
              <w:t>Analyses how register tokens or internal skip connections decouple local patch features from the global [CLS] representation.</w:t>
            </w:r>
          </w:p>
        </w:tc>
        <w:tc>
          <w:tcPr>
            <w:tcW w:type="dxa" w:w="3742"/>
            <w:vAlign w:val="top"/>
          </w:tcPr>
          <w:p>
            <w:pPr>
              <w:spacing w:after="0" w:before="0"/>
            </w:pPr>
            <w:r/>
            <w:r>
              <w:rPr>
                <w:b w:val="0"/>
                <w:i w:val="0"/>
                <w:sz w:val="17"/>
              </w:rPr>
              <w:t>Shows extra tokens change information routing inside the model, an effect never separated from learned routing in our design.</w:t>
            </w:r>
          </w:p>
        </w:tc>
      </w:tr>
      <w:tr>
        <w:trPr>
          <w:cantSplit w:val="true"/>
        </w:trPr>
        <w:tc>
          <w:tcPr>
            <w:tcW w:type="dxa" w:w="567"/>
            <w:vAlign w:val="top"/>
            <w:shd w:val="clear" w:color="auto" w:fill="EAF1F4"/>
          </w:tcPr>
          <w:p>
            <w:pPr>
              <w:spacing w:after="0" w:before="0"/>
            </w:pPr>
            <w:r/>
            <w:r>
              <w:rPr>
                <w:b w:val="0"/>
                <w:i w:val="0"/>
                <w:sz w:val="17"/>
              </w:rPr>
              <w:t>13</w:t>
            </w:r>
          </w:p>
        </w:tc>
        <w:tc>
          <w:tcPr>
            <w:tcW w:type="dxa" w:w="2494"/>
            <w:vAlign w:val="top"/>
            <w:shd w:val="clear" w:color="auto" w:fill="EAF1F4"/>
          </w:tcPr>
          <w:p>
            <w:pPr>
              <w:spacing w:after="0" w:before="0"/>
            </w:pPr>
            <w:r/>
            <w:r>
              <w:rPr>
                <w:b w:val="0"/>
                <w:i w:val="0"/>
                <w:sz w:val="17"/>
              </w:rPr>
              <w:t>Tang &amp; Qi, The extra tokens matter (ICML 2026)</w:t>
            </w:r>
          </w:p>
        </w:tc>
        <w:tc>
          <w:tcPr>
            <w:tcW w:type="dxa" w:w="2835"/>
            <w:vAlign w:val="top"/>
            <w:shd w:val="clear" w:color="auto" w:fill="EAF1F4"/>
          </w:tcPr>
          <w:p>
            <w:pPr>
              <w:spacing w:after="0" w:before="0"/>
            </w:pPr>
            <w:r/>
            <w:r>
              <w:rPr>
                <w:b w:val="0"/>
                <w:i w:val="0"/>
                <w:sz w:val="17"/>
              </w:rPr>
              <w:t>Regularises the extra tokens of a ViT into semantically disentangled factor tokens that correspond to object parts, with no manual labels.</w:t>
            </w:r>
          </w:p>
        </w:tc>
        <w:tc>
          <w:tcPr>
            <w:tcW w:type="dxa" w:w="3742"/>
            <w:vAlign w:val="top"/>
            <w:shd w:val="clear" w:color="auto" w:fill="EAF1F4"/>
          </w:tcPr>
          <w:p>
            <w:pPr>
              <w:spacing w:after="0" w:before="0"/>
            </w:pPr>
            <w:r/>
            <w:r>
              <w:rPr>
                <w:b w:val="0"/>
                <w:i w:val="0"/>
                <w:sz w:val="17"/>
              </w:rPr>
              <w:t>Closest in spirit to slots as parts, but the tokens are not routed from patches; it has not been compared with routed grouping at matched capacity.</w:t>
            </w:r>
          </w:p>
        </w:tc>
      </w:tr>
      <w:tr>
        <w:trPr>
          <w:cantSplit w:val="true"/>
        </w:trPr>
        <w:tc>
          <w:tcPr>
            <w:tcW w:type="dxa" w:w="567"/>
            <w:vAlign w:val="top"/>
          </w:tcPr>
          <w:p>
            <w:pPr>
              <w:spacing w:after="0" w:before="0"/>
            </w:pPr>
            <w:r/>
            <w:r>
              <w:rPr>
                <w:b w:val="0"/>
                <w:i w:val="0"/>
                <w:sz w:val="17"/>
              </w:rPr>
              <w:t>14</w:t>
            </w:r>
          </w:p>
        </w:tc>
        <w:tc>
          <w:tcPr>
            <w:tcW w:type="dxa" w:w="2494"/>
            <w:vAlign w:val="top"/>
          </w:tcPr>
          <w:p>
            <w:pPr>
              <w:spacing w:after="0" w:before="0"/>
            </w:pPr>
            <w:r/>
            <w:r>
              <w:rPr>
                <w:b w:val="0"/>
                <w:i w:val="0"/>
                <w:sz w:val="17"/>
              </w:rPr>
              <w:t>Dukic et al., Target-encoder bootstrapping (ICLR 2025)</w:t>
            </w:r>
          </w:p>
        </w:tc>
        <w:tc>
          <w:tcPr>
            <w:tcW w:type="dxa" w:w="2835"/>
            <w:vAlign w:val="top"/>
          </w:tcPr>
          <w:p>
            <w:pPr>
              <w:spacing w:after="0" w:before="0"/>
            </w:pPr>
            <w:r/>
            <w:r>
              <w:rPr>
                <w:b w:val="0"/>
                <w:i w:val="0"/>
                <w:sz w:val="17"/>
              </w:rPr>
              <w:t>Slot-attention models trained to reconstruct frozen foundation-model features; bootstraps the target encoder to lift the ceiling of frozen targets.</w:t>
            </w:r>
          </w:p>
        </w:tc>
        <w:tc>
          <w:tcPr>
            <w:tcW w:type="dxa" w:w="3742"/>
            <w:vAlign w:val="top"/>
          </w:tcPr>
          <w:p>
            <w:pPr>
              <w:spacing w:after="0" w:before="0"/>
            </w:pPr>
            <w:r/>
            <w:r>
              <w:rPr>
                <w:b w:val="0"/>
                <w:i w:val="0"/>
                <w:sz w:val="17"/>
              </w:rPr>
              <w:t>Needs a reconstruction objective and foundation-model features; it does not address grouping trained from class labels alone.</w:t>
            </w:r>
          </w:p>
        </w:tc>
      </w:tr>
      <w:tr>
        <w:trPr>
          <w:cantSplit w:val="true"/>
        </w:trPr>
        <w:tc>
          <w:tcPr>
            <w:tcW w:type="dxa" w:w="567"/>
            <w:vAlign w:val="top"/>
            <w:shd w:val="clear" w:color="auto" w:fill="EAF1F4"/>
          </w:tcPr>
          <w:p>
            <w:pPr>
              <w:spacing w:after="0" w:before="0"/>
            </w:pPr>
            <w:r/>
            <w:r>
              <w:rPr>
                <w:b w:val="0"/>
                <w:i w:val="0"/>
                <w:sz w:val="17"/>
              </w:rPr>
              <w:t>15</w:t>
            </w:r>
          </w:p>
        </w:tc>
        <w:tc>
          <w:tcPr>
            <w:tcW w:type="dxa" w:w="2494"/>
            <w:vAlign w:val="top"/>
            <w:shd w:val="clear" w:color="auto" w:fill="EAF1F4"/>
          </w:tcPr>
          <w:p>
            <w:pPr>
              <w:spacing w:after="0" w:before="0"/>
            </w:pPr>
            <w:r/>
            <w:r>
              <w:rPr>
                <w:b w:val="0"/>
                <w:i w:val="0"/>
                <w:sz w:val="17"/>
              </w:rPr>
              <w:t>Singh et al., GLASS (CVPR 2025)</w:t>
            </w:r>
          </w:p>
        </w:tc>
        <w:tc>
          <w:tcPr>
            <w:tcW w:type="dxa" w:w="2835"/>
            <w:vAlign w:val="top"/>
            <w:shd w:val="clear" w:color="auto" w:fill="EAF1F4"/>
          </w:tcPr>
          <w:p>
            <w:pPr>
              <w:spacing w:after="0" w:before="0"/>
            </w:pPr>
            <w:r/>
            <w:r>
              <w:rPr>
                <w:b w:val="0"/>
                <w:i w:val="0"/>
                <w:sz w:val="17"/>
              </w:rPr>
              <w:t>Guided latent slot diffusion for decomposing real-world images into object slots.</w:t>
            </w:r>
          </w:p>
        </w:tc>
        <w:tc>
          <w:tcPr>
            <w:tcW w:type="dxa" w:w="3742"/>
            <w:vAlign w:val="top"/>
            <w:shd w:val="clear" w:color="auto" w:fill="EAF1F4"/>
          </w:tcPr>
          <w:p>
            <w:pPr>
              <w:spacing w:after="0" w:before="0"/>
            </w:pPr>
            <w:r/>
            <w:r>
              <w:rPr>
                <w:b w:val="0"/>
                <w:i w:val="0"/>
                <w:sz w:val="17"/>
              </w:rPr>
              <w:t>Generative diffusion decoders are far heavier than a feed-forward router and serve a different goal from classification backbones.</w:t>
            </w:r>
          </w:p>
        </w:tc>
      </w:tr>
      <w:tr>
        <w:trPr>
          <w:cantSplit w:val="true"/>
        </w:trPr>
        <w:tc>
          <w:tcPr>
            <w:tcW w:type="dxa" w:w="567"/>
            <w:vAlign w:val="top"/>
          </w:tcPr>
          <w:p>
            <w:pPr>
              <w:spacing w:after="0" w:before="0"/>
            </w:pPr>
            <w:r/>
            <w:r>
              <w:rPr>
                <w:b w:val="0"/>
                <w:i w:val="0"/>
                <w:sz w:val="17"/>
              </w:rPr>
              <w:t>16</w:t>
            </w:r>
          </w:p>
        </w:tc>
        <w:tc>
          <w:tcPr>
            <w:tcW w:type="dxa" w:w="2494"/>
            <w:vAlign w:val="top"/>
          </w:tcPr>
          <w:p>
            <w:pPr>
              <w:spacing w:after="0" w:before="0"/>
            </w:pPr>
            <w:r/>
            <w:r>
              <w:rPr>
                <w:b w:val="0"/>
                <w:i w:val="0"/>
                <w:sz w:val="17"/>
              </w:rPr>
              <w:t>Akan, Slots in real-world scenarios (arXiv 2025)</w:t>
            </w:r>
          </w:p>
        </w:tc>
        <w:tc>
          <w:tcPr>
            <w:tcW w:type="dxa" w:w="2835"/>
            <w:vAlign w:val="top"/>
          </w:tcPr>
          <w:p>
            <w:pPr>
              <w:spacing w:after="0" w:before="0"/>
            </w:pPr>
            <w:r/>
            <w:r>
              <w:rPr>
                <w:b w:val="0"/>
                <w:i w:val="0"/>
                <w:sz w:val="17"/>
              </w:rPr>
              <w:t>SlotAdapt: lightweight adapters and a register token that connect object-centric slots to pretrained diffusion models.</w:t>
            </w:r>
          </w:p>
        </w:tc>
        <w:tc>
          <w:tcPr>
            <w:tcW w:type="dxa" w:w="3742"/>
            <w:vAlign w:val="top"/>
          </w:tcPr>
          <w:p>
            <w:pPr>
              <w:spacing w:after="0" w:before="0"/>
            </w:pPr>
            <w:r/>
            <w:r>
              <w:rPr>
                <w:b w:val="0"/>
                <w:i w:val="0"/>
                <w:sz w:val="17"/>
              </w:rPr>
              <w:t>Uses a register token alongside slots, which reinforces the need for a register control when claiming slot benefits.</w:t>
            </w:r>
          </w:p>
        </w:tc>
      </w:tr>
      <w:tr>
        <w:trPr>
          <w:cantSplit w:val="true"/>
        </w:trPr>
        <w:tc>
          <w:tcPr>
            <w:tcW w:type="dxa" w:w="567"/>
            <w:vAlign w:val="top"/>
            <w:shd w:val="clear" w:color="auto" w:fill="EAF1F4"/>
          </w:tcPr>
          <w:p>
            <w:pPr>
              <w:spacing w:after="0" w:before="0"/>
            </w:pPr>
            <w:r/>
            <w:r>
              <w:rPr>
                <w:b w:val="0"/>
                <w:i w:val="0"/>
                <w:sz w:val="17"/>
              </w:rPr>
              <w:t>17</w:t>
            </w:r>
          </w:p>
        </w:tc>
        <w:tc>
          <w:tcPr>
            <w:tcW w:type="dxa" w:w="2494"/>
            <w:vAlign w:val="top"/>
            <w:shd w:val="clear" w:color="auto" w:fill="EAF1F4"/>
          </w:tcPr>
          <w:p>
            <w:pPr>
              <w:spacing w:after="0" w:before="0"/>
            </w:pPr>
            <w:r/>
            <w:r>
              <w:rPr>
                <w:b w:val="0"/>
                <w:i w:val="0"/>
                <w:sz w:val="17"/>
              </w:rPr>
              <w:t>Simeoni et al., DINOv3 (arXiv 2025)</w:t>
            </w:r>
          </w:p>
        </w:tc>
        <w:tc>
          <w:tcPr>
            <w:tcW w:type="dxa" w:w="2835"/>
            <w:vAlign w:val="top"/>
            <w:shd w:val="clear" w:color="auto" w:fill="EAF1F4"/>
          </w:tcPr>
          <w:p>
            <w:pPr>
              <w:spacing w:after="0" w:before="0"/>
            </w:pPr>
            <w:r/>
            <w:r>
              <w:rPr>
                <w:b w:val="0"/>
                <w:i w:val="0"/>
                <w:sz w:val="17"/>
              </w:rPr>
              <w:t>Self-supervised foundation model scaled in data and parameters; 'Gram anchoring' to keep dense feature maps clean.</w:t>
            </w:r>
          </w:p>
        </w:tc>
        <w:tc>
          <w:tcPr>
            <w:tcW w:type="dxa" w:w="3742"/>
            <w:vAlign w:val="top"/>
            <w:shd w:val="clear" w:color="auto" w:fill="EAF1F4"/>
          </w:tcPr>
          <w:p>
            <w:pPr>
              <w:spacing w:after="0" w:before="0"/>
            </w:pPr>
            <w:r/>
            <w:r>
              <w:rPr>
                <w:b w:val="0"/>
                <w:i w:val="0"/>
                <w:sz w:val="17"/>
              </w:rPr>
              <w:t>Sets the bar for region quality at a scale we cannot reproduce; usable only as a frozen reference for region baselines in RO4.</w:t>
            </w:r>
          </w:p>
        </w:tc>
      </w:tr>
      <w:tr>
        <w:trPr>
          <w:cantSplit w:val="true"/>
        </w:trPr>
        <w:tc>
          <w:tcPr>
            <w:tcW w:type="dxa" w:w="567"/>
            <w:vAlign w:val="top"/>
          </w:tcPr>
          <w:p>
            <w:pPr>
              <w:spacing w:after="0" w:before="0"/>
            </w:pPr>
            <w:r/>
            <w:r>
              <w:rPr>
                <w:b w:val="0"/>
                <w:i w:val="0"/>
                <w:sz w:val="17"/>
              </w:rPr>
              <w:t>18</w:t>
            </w:r>
          </w:p>
        </w:tc>
        <w:tc>
          <w:tcPr>
            <w:tcW w:type="dxa" w:w="2494"/>
            <w:vAlign w:val="top"/>
          </w:tcPr>
          <w:p>
            <w:pPr>
              <w:spacing w:after="0" w:before="0"/>
            </w:pPr>
            <w:r/>
            <w:r>
              <w:rPr>
                <w:b w:val="0"/>
                <w:i w:val="0"/>
                <w:sz w:val="17"/>
              </w:rPr>
              <w:t>Rawlekar et al., Object DINO (CVPR 2026)</w:t>
            </w:r>
          </w:p>
        </w:tc>
        <w:tc>
          <w:tcPr>
            <w:tcW w:type="dxa" w:w="2835"/>
            <w:vAlign w:val="top"/>
          </w:tcPr>
          <w:p>
            <w:pPr>
              <w:spacing w:after="0" w:before="0"/>
            </w:pPr>
            <w:r/>
            <w:r>
              <w:rPr>
                <w:b w:val="0"/>
                <w:i w:val="0"/>
                <w:sz w:val="17"/>
              </w:rPr>
              <w:t>Training-free extraction of cleaner object maps from distributed properties of self-supervised ViTs, because [CLS] attention maps are noisy.</w:t>
            </w:r>
          </w:p>
        </w:tc>
        <w:tc>
          <w:tcPr>
            <w:tcW w:type="dxa" w:w="3742"/>
            <w:vAlign w:val="top"/>
          </w:tcPr>
          <w:p>
            <w:pPr>
              <w:spacing w:after="0" w:before="0"/>
            </w:pPr>
            <w:r/>
            <w:r>
              <w:rPr>
                <w:b w:val="0"/>
                <w:i w:val="0"/>
                <w:sz w:val="17"/>
              </w:rPr>
              <w:t>Shows that object localisation from attention depends on the extraction protocol, which is why RO4 fixes metrics and baselines in advance.</w:t>
            </w:r>
          </w:p>
        </w:tc>
      </w:tr>
      <w:tr>
        <w:trPr>
          <w:cantSplit w:val="true"/>
        </w:trPr>
        <w:tc>
          <w:tcPr>
            <w:tcW w:type="dxa" w:w="567"/>
            <w:vAlign w:val="top"/>
            <w:shd w:val="clear" w:color="auto" w:fill="EAF1F4"/>
          </w:tcPr>
          <w:p>
            <w:pPr>
              <w:spacing w:after="0" w:before="0"/>
            </w:pPr>
            <w:r/>
            <w:r>
              <w:rPr>
                <w:b w:val="0"/>
                <w:i w:val="0"/>
                <w:sz w:val="17"/>
              </w:rPr>
              <w:t>19</w:t>
            </w:r>
          </w:p>
        </w:tc>
        <w:tc>
          <w:tcPr>
            <w:tcW w:type="dxa" w:w="2494"/>
            <w:vAlign w:val="top"/>
            <w:shd w:val="clear" w:color="auto" w:fill="EAF1F4"/>
          </w:tcPr>
          <w:p>
            <w:pPr>
              <w:spacing w:after="0" w:before="0"/>
            </w:pPr>
            <w:r/>
            <w:r>
              <w:rPr>
                <w:b w:val="0"/>
                <w:i w:val="0"/>
                <w:sz w:val="17"/>
              </w:rPr>
              <w:t>Wen et al., Fantastic pretraining optimizers (ICLR 2026)</w:t>
            </w:r>
          </w:p>
        </w:tc>
        <w:tc>
          <w:tcPr>
            <w:tcW w:type="dxa" w:w="2835"/>
            <w:vAlign w:val="top"/>
            <w:shd w:val="clear" w:color="auto" w:fill="EAF1F4"/>
          </w:tcPr>
          <w:p>
            <w:pPr>
              <w:spacing w:after="0" w:before="0"/>
            </w:pPr>
            <w:r/>
            <w:r>
              <w:rPr>
                <w:b w:val="0"/>
                <w:i w:val="0"/>
                <w:sz w:val="17"/>
              </w:rPr>
              <w:t>Rigorous comparison of eleven optimizers across model scales to 1.2B parameters with matched hyper-parameter tuning.</w:t>
            </w:r>
          </w:p>
        </w:tc>
        <w:tc>
          <w:tcPr>
            <w:tcW w:type="dxa" w:w="3742"/>
            <w:vAlign w:val="top"/>
            <w:shd w:val="clear" w:color="auto" w:fill="EAF1F4"/>
          </w:tcPr>
          <w:p>
            <w:pPr>
              <w:spacing w:after="0" w:before="0"/>
            </w:pPr>
            <w:r/>
            <w:r>
              <w:rPr>
                <w:b w:val="0"/>
                <w:i w:val="0"/>
                <w:sz w:val="17"/>
              </w:rPr>
              <w:t>Same methodological failure as our audit, in another domain. No equivalent per-arm-tuned comparison exists for token-grouping ViTs.</w:t>
            </w:r>
          </w:p>
        </w:tc>
      </w:tr>
      <w:tr>
        <w:trPr>
          <w:cantSplit w:val="true"/>
        </w:trPr>
        <w:tc>
          <w:tcPr>
            <w:tcW w:type="dxa" w:w="567"/>
            <w:vAlign w:val="top"/>
          </w:tcPr>
          <w:p>
            <w:pPr>
              <w:spacing w:after="0" w:before="0"/>
            </w:pPr>
            <w:r/>
            <w:r>
              <w:rPr>
                <w:b w:val="0"/>
                <w:i w:val="0"/>
                <w:sz w:val="17"/>
              </w:rPr>
              <w:t>20</w:t>
            </w:r>
          </w:p>
        </w:tc>
        <w:tc>
          <w:tcPr>
            <w:tcW w:type="dxa" w:w="2494"/>
            <w:vAlign w:val="top"/>
          </w:tcPr>
          <w:p>
            <w:pPr>
              <w:spacing w:after="0" w:before="0"/>
            </w:pPr>
            <w:r/>
            <w:r>
              <w:rPr>
                <w:b w:val="0"/>
                <w:i w:val="0"/>
                <w:sz w:val="17"/>
              </w:rPr>
              <w:t>Kasimbeg et al., Hyperparameter-free learning (TMLR 2025)</w:t>
            </w:r>
          </w:p>
        </w:tc>
        <w:tc>
          <w:tcPr>
            <w:tcW w:type="dxa" w:w="2835"/>
            <w:vAlign w:val="top"/>
          </w:tcPr>
          <w:p>
            <w:pPr>
              <w:spacing w:after="0" w:before="0"/>
            </w:pPr>
            <w:r/>
            <w:r>
              <w:rPr>
                <w:b w:val="0"/>
                <w:i w:val="0"/>
                <w:sz w:val="17"/>
              </w:rPr>
              <w:t>Examines whether learning algorithms can avoid per-workload hyper-parameter tuning.</w:t>
            </w:r>
          </w:p>
        </w:tc>
        <w:tc>
          <w:tcPr>
            <w:tcW w:type="dxa" w:w="3742"/>
            <w:vAlign w:val="top"/>
          </w:tcPr>
          <w:p>
            <w:pPr>
              <w:spacing w:after="0" w:before="0"/>
            </w:pPr>
            <w:r/>
            <w:r>
              <w:rPr>
                <w:b w:val="0"/>
                <w:i w:val="0"/>
                <w:sz w:val="17"/>
              </w:rPr>
              <w:t>Supports tuning every arm separately (RO2) and shows that a single shared recipe is a weak basis for comparison.</w:t>
            </w:r>
          </w:p>
        </w:tc>
      </w:tr>
      <w:tr>
        <w:trPr>
          <w:cantSplit w:val="true"/>
        </w:trPr>
        <w:tc>
          <w:tcPr>
            <w:tcW w:type="dxa" w:w="567"/>
            <w:vAlign w:val="top"/>
            <w:shd w:val="clear" w:color="auto" w:fill="EAF1F4"/>
          </w:tcPr>
          <w:p>
            <w:pPr>
              <w:spacing w:after="0" w:before="0"/>
            </w:pPr>
            <w:r/>
            <w:r>
              <w:rPr>
                <w:b w:val="0"/>
                <w:i w:val="0"/>
                <w:sz w:val="17"/>
              </w:rPr>
              <w:t>21</w:t>
            </w:r>
          </w:p>
        </w:tc>
        <w:tc>
          <w:tcPr>
            <w:tcW w:type="dxa" w:w="2494"/>
            <w:vAlign w:val="top"/>
            <w:shd w:val="clear" w:color="auto" w:fill="EAF1F4"/>
          </w:tcPr>
          <w:p>
            <w:pPr>
              <w:spacing w:after="0" w:before="0"/>
            </w:pPr>
            <w:r/>
            <w:r>
              <w:rPr>
                <w:b w:val="0"/>
                <w:i w:val="0"/>
                <w:sz w:val="17"/>
              </w:rPr>
              <w:t>Hochlehnert et al., A sober look at LM reasoning (COLM 2025)</w:t>
            </w:r>
          </w:p>
        </w:tc>
        <w:tc>
          <w:tcPr>
            <w:tcW w:type="dxa" w:w="2835"/>
            <w:vAlign w:val="top"/>
            <w:shd w:val="clear" w:color="auto" w:fill="EAF1F4"/>
          </w:tcPr>
          <w:p>
            <w:pPr>
              <w:spacing w:after="0" w:before="0"/>
            </w:pPr>
            <w:r/>
            <w:r>
              <w:rPr>
                <w:b w:val="0"/>
                <w:i w:val="0"/>
                <w:sz w:val="17"/>
              </w:rPr>
              <w:t>Empirical study of evaluation practices; proposes a standardised, statistically grounded framework.</w:t>
            </w:r>
          </w:p>
        </w:tc>
        <w:tc>
          <w:tcPr>
            <w:tcW w:type="dxa" w:w="3742"/>
            <w:vAlign w:val="top"/>
            <w:shd w:val="clear" w:color="auto" w:fill="EAF1F4"/>
          </w:tcPr>
          <w:p>
            <w:pPr>
              <w:spacing w:after="0" w:before="0"/>
            </w:pPr>
            <w:r/>
            <w:r>
              <w:rPr>
                <w:b w:val="0"/>
                <w:i w:val="0"/>
                <w:sz w:val="17"/>
              </w:rPr>
              <w:t>Different domain, same lesson: variance and transparency decide conclusions. It supports multiple seeds and an OSF-registered plan.</w:t>
            </w:r>
          </w:p>
        </w:tc>
      </w:tr>
      <w:tr>
        <w:trPr>
          <w:cantSplit w:val="true"/>
        </w:trPr>
        <w:tc>
          <w:tcPr>
            <w:tcW w:type="dxa" w:w="567"/>
            <w:vAlign w:val="top"/>
          </w:tcPr>
          <w:p>
            <w:pPr>
              <w:spacing w:after="0" w:before="0"/>
            </w:pPr>
            <w:r/>
            <w:r>
              <w:rPr>
                <w:b w:val="0"/>
                <w:i w:val="0"/>
                <w:sz w:val="17"/>
              </w:rPr>
              <w:t>22</w:t>
            </w:r>
          </w:p>
        </w:tc>
        <w:tc>
          <w:tcPr>
            <w:tcW w:type="dxa" w:w="2494"/>
            <w:vAlign w:val="top"/>
          </w:tcPr>
          <w:p>
            <w:pPr>
              <w:spacing w:after="0" w:before="0"/>
            </w:pPr>
            <w:r/>
            <w:r>
              <w:rPr>
                <w:b w:val="0"/>
                <w:i w:val="0"/>
                <w:sz w:val="17"/>
              </w:rPr>
              <w:t>Hoel, Causal emergence 2.0 (arXiv 2025)</w:t>
            </w:r>
          </w:p>
        </w:tc>
        <w:tc>
          <w:tcPr>
            <w:tcW w:type="dxa" w:w="2835"/>
            <w:vAlign w:val="top"/>
          </w:tcPr>
          <w:p>
            <w:pPr>
              <w:spacing w:after="0" w:before="0"/>
            </w:pPr>
            <w:r/>
            <w:r>
              <w:rPr>
                <w:b w:val="0"/>
                <w:i w:val="0"/>
                <w:sz w:val="17"/>
              </w:rPr>
              <w:t>Axiomatic extension of causal emergence theory to quantify emergent complexity.</w:t>
            </w:r>
          </w:p>
        </w:tc>
        <w:tc>
          <w:tcPr>
            <w:tcW w:type="dxa" w:w="3742"/>
            <w:vAlign w:val="top"/>
          </w:tcPr>
          <w:p>
            <w:pPr>
              <w:spacing w:after="0" w:before="0"/>
            </w:pPr>
            <w:r/>
            <w:r>
              <w:rPr>
                <w:b w:val="0"/>
                <w:i w:val="0"/>
                <w:sz w:val="17"/>
              </w:rPr>
              <w:t>Theory with no validated differentiable vision implementation. Our minor project cited it but never computed Hoel-style effective information, and withdrew that framing.</w:t>
            </w:r>
          </w:p>
        </w:tc>
      </w:tr>
      <w:tr>
        <w:trPr>
          <w:cantSplit w:val="true"/>
        </w:trPr>
        <w:tc>
          <w:tcPr>
            <w:tcW w:type="dxa" w:w="567"/>
            <w:vAlign w:val="top"/>
            <w:shd w:val="clear" w:color="auto" w:fill="EAF1F4"/>
          </w:tcPr>
          <w:p>
            <w:pPr>
              <w:spacing w:after="0" w:before="0"/>
            </w:pPr>
            <w:r/>
            <w:r>
              <w:rPr>
                <w:b w:val="0"/>
                <w:i w:val="0"/>
                <w:sz w:val="17"/>
              </w:rPr>
              <w:t>23</w:t>
            </w:r>
          </w:p>
        </w:tc>
        <w:tc>
          <w:tcPr>
            <w:tcW w:type="dxa" w:w="2494"/>
            <w:vAlign w:val="top"/>
            <w:shd w:val="clear" w:color="auto" w:fill="EAF1F4"/>
          </w:tcPr>
          <w:p>
            <w:pPr>
              <w:spacing w:after="0" w:before="0"/>
            </w:pPr>
            <w:r/>
            <w:r>
              <w:rPr>
                <w:b w:val="0"/>
                <w:i w:val="0"/>
                <w:sz w:val="17"/>
              </w:rPr>
              <w:t>Zhang et al., Reversibility and causal emergence via SVD (npj Complexity 2025)</w:t>
            </w:r>
          </w:p>
        </w:tc>
        <w:tc>
          <w:tcPr>
            <w:tcW w:type="dxa" w:w="2835"/>
            <w:vAlign w:val="top"/>
            <w:shd w:val="clear" w:color="auto" w:fill="EAF1F4"/>
          </w:tcPr>
          <w:p>
            <w:pPr>
              <w:spacing w:after="0" w:before="0"/>
            </w:pPr>
            <w:r/>
            <w:r>
              <w:rPr>
                <w:b w:val="0"/>
                <w:i w:val="0"/>
                <w:sz w:val="17"/>
              </w:rPr>
              <w:t>Connects dynamical reversibility to effective information through an SVD formulation.</w:t>
            </w:r>
          </w:p>
        </w:tc>
        <w:tc>
          <w:tcPr>
            <w:tcW w:type="dxa" w:w="3742"/>
            <w:vAlign w:val="top"/>
            <w:shd w:val="clear" w:color="auto" w:fill="EAF1F4"/>
          </w:tcPr>
          <w:p>
            <w:pPr>
              <w:spacing w:after="0" w:before="0"/>
            </w:pPr>
            <w:r/>
            <w:r>
              <w:rPr>
                <w:b w:val="0"/>
                <w:i w:val="0"/>
                <w:sz w:val="17"/>
              </w:rPr>
              <w:t>The spectral regulariser of our minor project drew on this idea, but its metric turned out inverted relative to its description and was inactive at the trained operating point.</w:t>
            </w:r>
          </w:p>
        </w:tc>
      </w:tr>
      <w:tr>
        <w:trPr>
          <w:cantSplit w:val="true"/>
        </w:trPr>
        <w:tc>
          <w:tcPr>
            <w:tcW w:type="dxa" w:w="567"/>
            <w:vAlign w:val="top"/>
          </w:tcPr>
          <w:p>
            <w:pPr>
              <w:spacing w:after="0" w:before="0"/>
            </w:pPr>
            <w:r/>
            <w:r>
              <w:rPr>
                <w:b w:val="0"/>
                <w:i w:val="0"/>
                <w:sz w:val="17"/>
              </w:rPr>
              <w:t>24</w:t>
            </w:r>
          </w:p>
        </w:tc>
        <w:tc>
          <w:tcPr>
            <w:tcW w:type="dxa" w:w="2494"/>
            <w:vAlign w:val="top"/>
          </w:tcPr>
          <w:p>
            <w:pPr>
              <w:spacing w:after="0" w:before="0"/>
            </w:pPr>
            <w:r/>
            <w:r>
              <w:rPr>
                <w:b w:val="0"/>
                <w:i w:val="0"/>
                <w:sz w:val="17"/>
              </w:rPr>
              <w:t>Das, Sharma &amp; Eliazer M, CET-ViT (IEEE ICSL-DSGA 2026)</w:t>
            </w:r>
          </w:p>
        </w:tc>
        <w:tc>
          <w:tcPr>
            <w:tcW w:type="dxa" w:w="2835"/>
            <w:vAlign w:val="top"/>
          </w:tcPr>
          <w:p>
            <w:pPr>
              <w:spacing w:after="0" w:before="0"/>
            </w:pPr>
            <w:r/>
            <w:r>
              <w:rPr>
                <w:b w:val="0"/>
                <w:i w:val="0"/>
                <w:sz w:val="17"/>
              </w:rPr>
              <w:t>Hierarchical ViT with top-3 sparse routing of 256 tokens into 32 macro-slots (V-CEO) and cross-scale attention.</w:t>
            </w:r>
          </w:p>
        </w:tc>
        <w:tc>
          <w:tcPr>
            <w:tcW w:type="dxa" w:w="3742"/>
            <w:vAlign w:val="top"/>
          </w:tcPr>
          <w:p>
            <w:pPr>
              <w:spacing w:after="0" w:before="0"/>
            </w:pPr>
            <w:r/>
            <w:r>
              <w:rPr>
                <w:b w:val="0"/>
                <w:i w:val="0"/>
                <w:sz w:val="17"/>
              </w:rPr>
              <w:t>Single-seed baselines, no capacity-matched control, best-epoch selection on the test split, no mask-level region evaluation, no scale beyond 64x64.</w:t>
            </w:r>
          </w:p>
        </w:tc>
      </w:tr>
      <w:tr>
        <w:trPr>
          <w:cantSplit w:val="true"/>
        </w:trPr>
        <w:tc>
          <w:tcPr>
            <w:tcW w:type="dxa" w:w="567"/>
            <w:vAlign w:val="top"/>
            <w:shd w:val="clear" w:color="auto" w:fill="EAF1F4"/>
          </w:tcPr>
          <w:p>
            <w:pPr>
              <w:spacing w:after="0" w:before="0"/>
            </w:pPr>
            <w:r/>
            <w:r>
              <w:rPr>
                <w:b w:val="0"/>
                <w:i w:val="0"/>
                <w:sz w:val="17"/>
              </w:rPr>
              <w:t>25</w:t>
            </w:r>
          </w:p>
        </w:tc>
        <w:tc>
          <w:tcPr>
            <w:tcW w:type="dxa" w:w="2494"/>
            <w:vAlign w:val="top"/>
            <w:shd w:val="clear" w:color="auto" w:fill="EAF1F4"/>
          </w:tcPr>
          <w:p>
            <w:pPr>
              <w:spacing w:after="0" w:before="0"/>
            </w:pPr>
            <w:r/>
            <w:r>
              <w:rPr>
                <w:b w:val="0"/>
                <w:i w:val="0"/>
                <w:sz w:val="17"/>
              </w:rPr>
              <w:t>Das, Compute-matched audit (private draft v13, 2026)</w:t>
            </w:r>
          </w:p>
        </w:tc>
        <w:tc>
          <w:tcPr>
            <w:tcW w:type="dxa" w:w="2835"/>
            <w:vAlign w:val="top"/>
            <w:shd w:val="clear" w:color="auto" w:fill="EAF1F4"/>
          </w:tcPr>
          <w:p>
            <w:pPr>
              <w:spacing w:after="0" w:before="0"/>
            </w:pPr>
            <w:r/>
            <w:r>
              <w:rPr>
                <w:b w:val="0"/>
                <w:i w:val="0"/>
                <w:sz w:val="17"/>
              </w:rPr>
              <w:t>237 runs, matched no-branch control G, MAC-matched Swins, per-arm learning-rate sweep, committed analysis plans.</w:t>
            </w:r>
          </w:p>
        </w:tc>
        <w:tc>
          <w:tcPr>
            <w:tcW w:type="dxa" w:w="3742"/>
            <w:vAlign w:val="top"/>
            <w:shd w:val="clear" w:color="auto" w:fill="EAF1F4"/>
          </w:tcPr>
          <w:p>
            <w:pPr>
              <w:spacing w:after="0" w:before="0"/>
            </w:pPr>
            <w:r/>
            <w:r>
              <w:rPr>
                <w:b w:val="0"/>
                <w:i w:val="0"/>
                <w:sz w:val="17"/>
              </w:rPr>
              <w:t>One-seed 4-rate sweep; one control placement; fixed routers not tuned; low-resolution data only; no OSF registration.</w:t>
            </w:r>
          </w:p>
        </w:tc>
      </w:tr>
    </w:tbl>
    <w:p>
      <w:pPr>
        <w:spacing w:after="160"/>
      </w:pPr>
      <w:r>
        <w:rPr>
          <w:b w:val="0"/>
          <w:i/>
          <w:color w:val="5B6B77"/>
          <w:sz w:val="18"/>
        </w:rPr>
        <w:t>Table 2. Condensed literature survey. Full details in Annexure A.</w:t>
      </w:r>
    </w:p>
    <w:p>
      <w:pPr>
        <w:pStyle w:val="Heading1"/>
      </w:pPr>
      <w:r>
        <w:t>4. Limitations identified from the literature survey (research gaps)</w:t>
      </w:r>
    </w:p>
    <w:tbl>
      <w:tblPr>
        <w:tblW w:type="auto" w:w="0"/>
        <w:jc w:val="center"/>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50" w:type="dxa"/>
          <w:left w:w="80" w:type="dxa"/>
          <w:bottom w:w="50" w:type="dxa"/>
          <w:right w:w="80" w:type="dxa"/>
        </w:tblCellMar>
        <w:tblLayout w:type="fixed"/>
      </w:tblPr>
      <w:tblGrid>
        <w:gridCol w:w="680"/>
        <w:gridCol w:w="2267"/>
        <w:gridCol w:w="5442"/>
        <w:gridCol w:w="1247"/>
      </w:tblGrid>
      <w:tr>
        <w:trPr>
          <w:tblHeader w:val="true"/>
        </w:trPr>
        <w:tc>
          <w:tcPr>
            <w:tcW w:type="dxa" w:w="680"/>
            <w:vAlign w:val="center"/>
            <w:shd w:val="clear" w:color="auto" w:fill="0F2A3D"/>
          </w:tcPr>
          <w:p>
            <w:pPr>
              <w:spacing w:after="0" w:before="0"/>
            </w:pPr>
            <w:r/>
            <w:r>
              <w:rPr>
                <w:b/>
                <w:i w:val="0"/>
                <w:color w:val="FFFFFF"/>
                <w:sz w:val="18"/>
              </w:rPr>
              <w:t>ID</w:t>
            </w:r>
          </w:p>
        </w:tc>
        <w:tc>
          <w:tcPr>
            <w:tcW w:type="dxa" w:w="2268"/>
            <w:vAlign w:val="center"/>
            <w:shd w:val="clear" w:color="auto" w:fill="0F2A3D"/>
          </w:tcPr>
          <w:p>
            <w:pPr>
              <w:spacing w:after="0" w:before="0"/>
            </w:pPr>
            <w:r/>
            <w:r>
              <w:rPr>
                <w:b/>
                <w:i w:val="0"/>
                <w:color w:val="FFFFFF"/>
                <w:sz w:val="18"/>
              </w:rPr>
              <w:t>Limitation identified</w:t>
            </w:r>
          </w:p>
        </w:tc>
        <w:tc>
          <w:tcPr>
            <w:tcW w:type="dxa" w:w="5443"/>
            <w:vAlign w:val="center"/>
            <w:shd w:val="clear" w:color="auto" w:fill="0F2A3D"/>
          </w:tcPr>
          <w:p>
            <w:pPr>
              <w:spacing w:after="0" w:before="0"/>
            </w:pPr>
            <w:r/>
            <w:r>
              <w:rPr>
                <w:b/>
                <w:i w:val="0"/>
                <w:color w:val="FFFFFF"/>
                <w:sz w:val="18"/>
              </w:rPr>
              <w:t>Evidence from the survey</w:t>
            </w:r>
          </w:p>
        </w:tc>
        <w:tc>
          <w:tcPr>
            <w:tcW w:type="dxa" w:w="1247"/>
            <w:vAlign w:val="center"/>
            <w:shd w:val="clear" w:color="auto" w:fill="0F2A3D"/>
          </w:tcPr>
          <w:p>
            <w:pPr>
              <w:spacing w:after="0" w:before="0"/>
            </w:pPr>
            <w:r/>
            <w:r>
              <w:rPr>
                <w:b/>
                <w:i w:val="0"/>
                <w:color w:val="FFFFFF"/>
                <w:sz w:val="18"/>
              </w:rPr>
              <w:t>Addressed by</w:t>
            </w:r>
          </w:p>
        </w:tc>
      </w:tr>
      <w:tr>
        <w:trPr>
          <w:cantSplit w:val="true"/>
        </w:trPr>
        <w:tc>
          <w:tcPr>
            <w:tcW w:type="dxa" w:w="680"/>
            <w:vAlign w:val="top"/>
            <w:shd w:val="clear" w:color="auto" w:fill="EAF1F4"/>
          </w:tcPr>
          <w:p>
            <w:pPr>
              <w:spacing w:after="0" w:before="0"/>
            </w:pPr>
            <w:r/>
            <w:r>
              <w:rPr>
                <w:b/>
                <w:i w:val="0"/>
                <w:sz w:val="18"/>
              </w:rPr>
              <w:t>G1</w:t>
            </w:r>
          </w:p>
        </w:tc>
        <w:tc>
          <w:tcPr>
            <w:tcW w:type="dxa" w:w="2268"/>
            <w:vAlign w:val="top"/>
            <w:shd w:val="clear" w:color="auto" w:fill="EAF1F4"/>
          </w:tcPr>
          <w:p>
            <w:pPr>
              <w:spacing w:after="0" w:before="0"/>
            </w:pPr>
            <w:r/>
            <w:r>
              <w:rPr>
                <w:b w:val="0"/>
                <w:i w:val="0"/>
                <w:sz w:val="18"/>
              </w:rPr>
              <w:t>No capacity-controlled test of learned grouping</w:t>
            </w:r>
          </w:p>
        </w:tc>
        <w:tc>
          <w:tcPr>
            <w:tcW w:type="dxa" w:w="5443"/>
            <w:vAlign w:val="top"/>
            <w:shd w:val="clear" w:color="auto" w:fill="EAF1F4"/>
          </w:tcPr>
          <w:p>
            <w:pPr>
              <w:spacing w:after="0" w:before="0"/>
            </w:pPr>
            <w:r/>
            <w:r>
              <w:rPr>
                <w:b w:val="0"/>
                <w:i w:val="0"/>
                <w:sz w:val="18"/>
              </w:rPr>
              <w:t>Register work (entries 10 to 13, 16) shows that extra input-independent tokens change ViT behaviour; the token-merging and tokenizer papers (1 to 9) do not test learned grouping against such a control.</w:t>
            </w:r>
          </w:p>
        </w:tc>
        <w:tc>
          <w:tcPr>
            <w:tcW w:type="dxa" w:w="1247"/>
            <w:vAlign w:val="top"/>
            <w:shd w:val="clear" w:color="auto" w:fill="EAF1F4"/>
          </w:tcPr>
          <w:p>
            <w:pPr>
              <w:spacing w:after="0" w:before="0"/>
            </w:pPr>
            <w:r/>
            <w:r>
              <w:rPr>
                <w:b w:val="0"/>
                <w:i w:val="0"/>
                <w:sz w:val="18"/>
              </w:rPr>
              <w:t>RO2</w:t>
            </w:r>
          </w:p>
        </w:tc>
      </w:tr>
      <w:tr>
        <w:trPr>
          <w:cantSplit w:val="true"/>
        </w:trPr>
        <w:tc>
          <w:tcPr>
            <w:tcW w:type="dxa" w:w="680"/>
            <w:vAlign w:val="top"/>
          </w:tcPr>
          <w:p>
            <w:pPr>
              <w:spacing w:after="0" w:before="0"/>
            </w:pPr>
            <w:r/>
            <w:r>
              <w:rPr>
                <w:b/>
                <w:i w:val="0"/>
                <w:sz w:val="18"/>
              </w:rPr>
              <w:t>G2</w:t>
            </w:r>
          </w:p>
        </w:tc>
        <w:tc>
          <w:tcPr>
            <w:tcW w:type="dxa" w:w="2268"/>
            <w:vAlign w:val="top"/>
          </w:tcPr>
          <w:p>
            <w:pPr>
              <w:spacing w:after="0" w:before="0"/>
            </w:pPr>
            <w:r/>
            <w:r>
              <w:rPr>
                <w:b w:val="0"/>
                <w:i w:val="0"/>
                <w:sz w:val="18"/>
              </w:rPr>
              <w:t>Merging and pruning are framed as efficiency</w:t>
            </w:r>
          </w:p>
        </w:tc>
        <w:tc>
          <w:tcPr>
            <w:tcW w:type="dxa" w:w="5443"/>
            <w:vAlign w:val="top"/>
          </w:tcPr>
          <w:p>
            <w:pPr>
              <w:spacing w:after="0" w:before="0"/>
            </w:pPr>
            <w:r/>
            <w:r>
              <w:rPr>
                <w:b w:val="0"/>
                <w:i w:val="0"/>
                <w:sz w:val="18"/>
              </w:rPr>
              <w:t>Entries 1 to 5 are inference-time or plug-in methods on existing ViTs; none studies grouping as a from-scratch representation component in the small-image regime.</w:t>
            </w:r>
          </w:p>
        </w:tc>
        <w:tc>
          <w:tcPr>
            <w:tcW w:type="dxa" w:w="1247"/>
            <w:vAlign w:val="top"/>
          </w:tcPr>
          <w:p>
            <w:pPr>
              <w:spacing w:after="0" w:before="0"/>
            </w:pPr>
            <w:r/>
            <w:r>
              <w:rPr>
                <w:b w:val="0"/>
                <w:i w:val="0"/>
                <w:sz w:val="18"/>
              </w:rPr>
              <w:t>RO2, RO3</w:t>
            </w:r>
          </w:p>
        </w:tc>
      </w:tr>
      <w:tr>
        <w:trPr>
          <w:cantSplit w:val="true"/>
        </w:trPr>
        <w:tc>
          <w:tcPr>
            <w:tcW w:type="dxa" w:w="680"/>
            <w:vAlign w:val="top"/>
            <w:shd w:val="clear" w:color="auto" w:fill="EAF1F4"/>
          </w:tcPr>
          <w:p>
            <w:pPr>
              <w:spacing w:after="0" w:before="0"/>
            </w:pPr>
            <w:r/>
            <w:r>
              <w:rPr>
                <w:b/>
                <w:i w:val="0"/>
                <w:sz w:val="18"/>
              </w:rPr>
              <w:t>G3</w:t>
            </w:r>
          </w:p>
        </w:tc>
        <w:tc>
          <w:tcPr>
            <w:tcW w:type="dxa" w:w="2268"/>
            <w:vAlign w:val="top"/>
            <w:shd w:val="clear" w:color="auto" w:fill="EAF1F4"/>
          </w:tcPr>
          <w:p>
            <w:pPr>
              <w:spacing w:after="0" w:before="0"/>
            </w:pPr>
            <w:r/>
            <w:r>
              <w:rPr>
                <w:b w:val="0"/>
                <w:i w:val="0"/>
                <w:sz w:val="18"/>
              </w:rPr>
              <w:t>Single-pass, label-only grouping is unexamined</w:t>
            </w:r>
          </w:p>
        </w:tc>
        <w:tc>
          <w:tcPr>
            <w:tcW w:type="dxa" w:w="5443"/>
            <w:vAlign w:val="top"/>
            <w:shd w:val="clear" w:color="auto" w:fill="EAF1F4"/>
          </w:tcPr>
          <w:p>
            <w:pPr>
              <w:spacing w:after="0" w:before="0"/>
            </w:pPr>
            <w:r/>
            <w:r>
              <w:rPr>
                <w:b w:val="0"/>
                <w:i w:val="0"/>
                <w:sz w:val="18"/>
              </w:rPr>
              <w:t>Slot-based work (14 to 16) relies on reconstruction, frozen foundation-model targets or diffusion decoders; a feed-forward top-k assignment trained from class labels is uncharacterised.</w:t>
            </w:r>
          </w:p>
        </w:tc>
        <w:tc>
          <w:tcPr>
            <w:tcW w:type="dxa" w:w="1247"/>
            <w:vAlign w:val="top"/>
            <w:shd w:val="clear" w:color="auto" w:fill="EAF1F4"/>
          </w:tcPr>
          <w:p>
            <w:pPr>
              <w:spacing w:after="0" w:before="0"/>
            </w:pPr>
            <w:r/>
            <w:r>
              <w:rPr>
                <w:b w:val="0"/>
                <w:i w:val="0"/>
                <w:sz w:val="18"/>
              </w:rPr>
              <w:t>RO2, RO4</w:t>
            </w:r>
          </w:p>
        </w:tc>
      </w:tr>
      <w:tr>
        <w:trPr>
          <w:cantSplit w:val="true"/>
        </w:trPr>
        <w:tc>
          <w:tcPr>
            <w:tcW w:type="dxa" w:w="680"/>
            <w:vAlign w:val="top"/>
          </w:tcPr>
          <w:p>
            <w:pPr>
              <w:spacing w:after="0" w:before="0"/>
            </w:pPr>
            <w:r/>
            <w:r>
              <w:rPr>
                <w:b/>
                <w:i w:val="0"/>
                <w:sz w:val="18"/>
              </w:rPr>
              <w:t>G4</w:t>
            </w:r>
          </w:p>
        </w:tc>
        <w:tc>
          <w:tcPr>
            <w:tcW w:type="dxa" w:w="2268"/>
            <w:vAlign w:val="top"/>
          </w:tcPr>
          <w:p>
            <w:pPr>
              <w:spacing w:after="0" w:before="0"/>
            </w:pPr>
            <w:r/>
            <w:r>
              <w:rPr>
                <w:b w:val="0"/>
                <w:i w:val="0"/>
                <w:sz w:val="18"/>
              </w:rPr>
              <w:t>Evaluation protocols are weak</w:t>
            </w:r>
          </w:p>
        </w:tc>
        <w:tc>
          <w:tcPr>
            <w:tcW w:type="dxa" w:w="5443"/>
            <w:vAlign w:val="top"/>
          </w:tcPr>
          <w:p>
            <w:pPr>
              <w:spacing w:after="0" w:before="0"/>
            </w:pPr>
            <w:r/>
            <w:r>
              <w:rPr>
                <w:b w:val="0"/>
                <w:i w:val="0"/>
                <w:sz w:val="18"/>
              </w:rPr>
              <w:t>Entries 19 to 21 show that under-tuned baselines and weak evaluation inflate claimed gains; our own baselines were single-seed with test-split selection (entry 24).</w:t>
            </w:r>
          </w:p>
        </w:tc>
        <w:tc>
          <w:tcPr>
            <w:tcW w:type="dxa" w:w="1247"/>
            <w:vAlign w:val="top"/>
          </w:tcPr>
          <w:p>
            <w:pPr>
              <w:spacing w:after="0" w:before="0"/>
            </w:pPr>
            <w:r/>
            <w:r>
              <w:rPr>
                <w:b w:val="0"/>
                <w:i w:val="0"/>
                <w:sz w:val="18"/>
              </w:rPr>
              <w:t>RO1, RO5</w:t>
            </w:r>
          </w:p>
        </w:tc>
      </w:tr>
      <w:tr>
        <w:trPr>
          <w:cantSplit w:val="true"/>
        </w:trPr>
        <w:tc>
          <w:tcPr>
            <w:tcW w:type="dxa" w:w="680"/>
            <w:vAlign w:val="top"/>
            <w:shd w:val="clear" w:color="auto" w:fill="EAF1F4"/>
          </w:tcPr>
          <w:p>
            <w:pPr>
              <w:spacing w:after="0" w:before="0"/>
            </w:pPr>
            <w:r/>
            <w:r>
              <w:rPr>
                <w:b/>
                <w:i w:val="0"/>
                <w:sz w:val="18"/>
              </w:rPr>
              <w:t>G5</w:t>
            </w:r>
          </w:p>
        </w:tc>
        <w:tc>
          <w:tcPr>
            <w:tcW w:type="dxa" w:w="2268"/>
            <w:vAlign w:val="top"/>
            <w:shd w:val="clear" w:color="auto" w:fill="EAF1F4"/>
          </w:tcPr>
          <w:p>
            <w:pPr>
              <w:spacing w:after="0" w:before="0"/>
            </w:pPr>
            <w:r/>
            <w:r>
              <w:rPr>
                <w:b w:val="0"/>
                <w:i w:val="0"/>
                <w:sz w:val="18"/>
              </w:rPr>
              <w:t>Region claims are qualitative and protocol-sensitive</w:t>
            </w:r>
          </w:p>
        </w:tc>
        <w:tc>
          <w:tcPr>
            <w:tcW w:type="dxa" w:w="5443"/>
            <w:vAlign w:val="top"/>
            <w:shd w:val="clear" w:color="auto" w:fill="EAF1F4"/>
          </w:tcPr>
          <w:p>
            <w:pPr>
              <w:spacing w:after="0" w:before="0"/>
            </w:pPr>
            <w:r/>
            <w:r>
              <w:rPr>
                <w:b w:val="0"/>
                <w:i w:val="0"/>
                <w:sz w:val="18"/>
              </w:rPr>
              <w:t>Entries 17 and 18 show that localisation from ViT attention is noisy and depends on extraction; our region figures were visual only.</w:t>
            </w:r>
          </w:p>
        </w:tc>
        <w:tc>
          <w:tcPr>
            <w:tcW w:type="dxa" w:w="1247"/>
            <w:vAlign w:val="top"/>
            <w:shd w:val="clear" w:color="auto" w:fill="EAF1F4"/>
          </w:tcPr>
          <w:p>
            <w:pPr>
              <w:spacing w:after="0" w:before="0"/>
            </w:pPr>
            <w:r/>
            <w:r>
              <w:rPr>
                <w:b w:val="0"/>
                <w:i w:val="0"/>
                <w:sz w:val="18"/>
              </w:rPr>
              <w:t>RO4</w:t>
            </w:r>
          </w:p>
        </w:tc>
      </w:tr>
      <w:tr>
        <w:trPr>
          <w:cantSplit w:val="true"/>
        </w:trPr>
        <w:tc>
          <w:tcPr>
            <w:tcW w:type="dxa" w:w="680"/>
            <w:vAlign w:val="top"/>
          </w:tcPr>
          <w:p>
            <w:pPr>
              <w:spacing w:after="0" w:before="0"/>
            </w:pPr>
            <w:r/>
            <w:r>
              <w:rPr>
                <w:b/>
                <w:i w:val="0"/>
                <w:sz w:val="18"/>
              </w:rPr>
              <w:t>G6</w:t>
            </w:r>
          </w:p>
        </w:tc>
        <w:tc>
          <w:tcPr>
            <w:tcW w:type="dxa" w:w="2268"/>
            <w:vAlign w:val="top"/>
          </w:tcPr>
          <w:p>
            <w:pPr>
              <w:spacing w:after="0" w:before="0"/>
            </w:pPr>
            <w:r/>
            <w:r>
              <w:rPr>
                <w:b w:val="0"/>
                <w:i w:val="0"/>
                <w:sz w:val="18"/>
              </w:rPr>
              <w:t>Scale is untested</w:t>
            </w:r>
          </w:p>
        </w:tc>
        <w:tc>
          <w:tcPr>
            <w:tcW w:type="dxa" w:w="5443"/>
            <w:vAlign w:val="top"/>
          </w:tcPr>
          <w:p>
            <w:pPr>
              <w:spacing w:after="0" w:before="0"/>
            </w:pPr>
            <w:r/>
            <w:r>
              <w:rPr>
                <w:b w:val="0"/>
                <w:i w:val="0"/>
                <w:sz w:val="18"/>
              </w:rPr>
              <w:t>The advantage over Swin narrowed by 76% from 32x32 to 64x64 in the minor project; small-data hierarchical ViTs (entry 9) lean on hand-designed locality priors, and ImageNet-like scale is unknown.</w:t>
            </w:r>
          </w:p>
        </w:tc>
        <w:tc>
          <w:tcPr>
            <w:tcW w:type="dxa" w:w="1247"/>
            <w:vAlign w:val="top"/>
          </w:tcPr>
          <w:p>
            <w:pPr>
              <w:spacing w:after="0" w:before="0"/>
            </w:pPr>
            <w:r/>
            <w:r>
              <w:rPr>
                <w:b w:val="0"/>
                <w:i w:val="0"/>
                <w:sz w:val="18"/>
              </w:rPr>
              <w:t>RO3</w:t>
            </w:r>
          </w:p>
        </w:tc>
      </w:tr>
    </w:tbl>
    <w:p>
      <w:pPr>
        <w:spacing w:after="160"/>
      </w:pPr>
      <w:r>
        <w:rPr>
          <w:b w:val="0"/>
          <w:i/>
          <w:color w:val="5B6B77"/>
          <w:sz w:val="18"/>
        </w:rPr>
        <w:t>Table 3. Research gaps and the research objective that addresses each.</w:t>
      </w:r>
    </w:p>
    <w:p>
      <w:pPr>
        <w:pStyle w:val="Heading1"/>
      </w:pPr>
      <w:r>
        <w:t>5. Research objectives (epics)</w:t>
      </w:r>
    </w:p>
    <w:tbl>
      <w:tblPr>
        <w:tblW w:type="auto" w:w="0"/>
        <w:jc w:val="center"/>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50" w:type="dxa"/>
          <w:left w:w="80" w:type="dxa"/>
          <w:bottom w:w="50" w:type="dxa"/>
          <w:right w:w="80" w:type="dxa"/>
        </w:tblCellMar>
        <w:tblLayout w:type="fixed"/>
      </w:tblPr>
      <w:tblGrid>
        <w:gridCol w:w="680"/>
        <w:gridCol w:w="1927"/>
        <w:gridCol w:w="4195"/>
        <w:gridCol w:w="2834"/>
      </w:tblGrid>
      <w:tr>
        <w:trPr>
          <w:tblHeader w:val="true"/>
        </w:trPr>
        <w:tc>
          <w:tcPr>
            <w:tcW w:type="dxa" w:w="680"/>
            <w:vAlign w:val="center"/>
            <w:shd w:val="clear" w:color="auto" w:fill="0F2A3D"/>
          </w:tcPr>
          <w:p>
            <w:pPr>
              <w:spacing w:after="0" w:before="0"/>
            </w:pPr>
            <w:r/>
            <w:r>
              <w:rPr>
                <w:b/>
                <w:i w:val="0"/>
                <w:color w:val="FFFFFF"/>
                <w:sz w:val="18"/>
              </w:rPr>
              <w:t>ID</w:t>
            </w:r>
          </w:p>
        </w:tc>
        <w:tc>
          <w:tcPr>
            <w:tcW w:type="dxa" w:w="1928"/>
            <w:vAlign w:val="center"/>
            <w:shd w:val="clear" w:color="auto" w:fill="0F2A3D"/>
          </w:tcPr>
          <w:p>
            <w:pPr>
              <w:spacing w:after="0" w:before="0"/>
            </w:pPr>
            <w:r/>
            <w:r>
              <w:rPr>
                <w:b/>
                <w:i w:val="0"/>
                <w:color w:val="FFFFFF"/>
                <w:sz w:val="18"/>
              </w:rPr>
              <w:t>Objective</w:t>
            </w:r>
          </w:p>
        </w:tc>
        <w:tc>
          <w:tcPr>
            <w:tcW w:type="dxa" w:w="4195"/>
            <w:vAlign w:val="center"/>
            <w:shd w:val="clear" w:color="auto" w:fill="0F2A3D"/>
          </w:tcPr>
          <w:p>
            <w:pPr>
              <w:spacing w:after="0" w:before="0"/>
            </w:pPr>
            <w:r/>
            <w:r>
              <w:rPr>
                <w:b/>
                <w:i w:val="0"/>
                <w:color w:val="FFFFFF"/>
                <w:sz w:val="18"/>
              </w:rPr>
              <w:t>Scope</w:t>
            </w:r>
          </w:p>
        </w:tc>
        <w:tc>
          <w:tcPr>
            <w:tcW w:type="dxa" w:w="2835"/>
            <w:vAlign w:val="center"/>
            <w:shd w:val="clear" w:color="auto" w:fill="0F2A3D"/>
          </w:tcPr>
          <w:p>
            <w:pPr>
              <w:spacing w:after="0" w:before="0"/>
            </w:pPr>
            <w:r/>
            <w:r>
              <w:rPr>
                <w:b/>
                <w:i w:val="0"/>
                <w:color w:val="FFFFFF"/>
                <w:sz w:val="18"/>
              </w:rPr>
              <w:t>Success criterion</w:t>
            </w:r>
          </w:p>
        </w:tc>
      </w:tr>
      <w:tr>
        <w:trPr>
          <w:cantSplit w:val="true"/>
        </w:trPr>
        <w:tc>
          <w:tcPr>
            <w:tcW w:type="dxa" w:w="680"/>
            <w:vAlign w:val="top"/>
            <w:shd w:val="clear" w:color="auto" w:fill="EAF1F4"/>
          </w:tcPr>
          <w:p>
            <w:pPr>
              <w:spacing w:after="0" w:before="0"/>
            </w:pPr>
            <w:r/>
            <w:r>
              <w:rPr>
                <w:b/>
                <w:i w:val="0"/>
                <w:sz w:val="18"/>
              </w:rPr>
              <w:t>RO1</w:t>
            </w:r>
          </w:p>
        </w:tc>
        <w:tc>
          <w:tcPr>
            <w:tcW w:type="dxa" w:w="1928"/>
            <w:vAlign w:val="top"/>
            <w:shd w:val="clear" w:color="auto" w:fill="EAF1F4"/>
          </w:tcPr>
          <w:p>
            <w:pPr>
              <w:spacing w:after="0" w:before="0"/>
            </w:pPr>
            <w:r/>
            <w:r>
              <w:rPr>
                <w:b w:val="0"/>
                <w:i w:val="0"/>
                <w:sz w:val="18"/>
              </w:rPr>
              <w:t>Corrected, reproducible baseline</w:t>
            </w:r>
          </w:p>
        </w:tc>
        <w:tc>
          <w:tcPr>
            <w:tcW w:type="dxa" w:w="4195"/>
            <w:vAlign w:val="top"/>
            <w:shd w:val="clear" w:color="auto" w:fill="EAF1F4"/>
          </w:tcPr>
          <w:p>
            <w:pPr>
              <w:spacing w:after="0" w:before="0"/>
            </w:pPr>
            <w:r/>
            <w:r>
              <w:rPr>
                <w:b w:val="0"/>
                <w:i w:val="0"/>
                <w:sz w:val="18"/>
              </w:rPr>
              <w:t>Publish the corrected CET-ViT release (erratum, model card, licence, sanitised repository) and send the corrections for the IEEE paper through the co-authors and guide.</w:t>
            </w:r>
          </w:p>
        </w:tc>
        <w:tc>
          <w:tcPr>
            <w:tcW w:type="dxa" w:w="2835"/>
            <w:vAlign w:val="top"/>
            <w:shd w:val="clear" w:color="auto" w:fill="EAF1F4"/>
          </w:tcPr>
          <w:p>
            <w:pPr>
              <w:spacing w:after="0" w:before="0"/>
            </w:pPr>
            <w:r/>
            <w:r>
              <w:rPr>
                <w:b w:val="0"/>
                <w:i w:val="0"/>
                <w:sz w:val="18"/>
              </w:rPr>
              <w:t>Clean-environment reproduction of the main tables within seed variance; erratum issued.</w:t>
            </w:r>
          </w:p>
        </w:tc>
      </w:tr>
      <w:tr>
        <w:trPr>
          <w:cantSplit w:val="true"/>
        </w:trPr>
        <w:tc>
          <w:tcPr>
            <w:tcW w:type="dxa" w:w="680"/>
            <w:vAlign w:val="top"/>
          </w:tcPr>
          <w:p>
            <w:pPr>
              <w:spacing w:after="0" w:before="0"/>
            </w:pPr>
            <w:r/>
            <w:r>
              <w:rPr>
                <w:b/>
                <w:i w:val="0"/>
                <w:sz w:val="18"/>
              </w:rPr>
              <w:t>RO2</w:t>
            </w:r>
          </w:p>
        </w:tc>
        <w:tc>
          <w:tcPr>
            <w:tcW w:type="dxa" w:w="1928"/>
            <w:vAlign w:val="top"/>
          </w:tcPr>
          <w:p>
            <w:pPr>
              <w:spacing w:after="0" w:before="0"/>
            </w:pPr>
            <w:r/>
            <w:r>
              <w:rPr>
                <w:b w:val="0"/>
                <w:i w:val="0"/>
                <w:sz w:val="18"/>
              </w:rPr>
              <w:t>Capacity-controlled comparison (RQ1)</w:t>
            </w:r>
          </w:p>
        </w:tc>
        <w:tc>
          <w:tcPr>
            <w:tcW w:type="dxa" w:w="4195"/>
            <w:vAlign w:val="top"/>
          </w:tcPr>
          <w:p>
            <w:pPr>
              <w:spacing w:after="0" w:before="0"/>
            </w:pPr>
            <w:r/>
            <w:r>
              <w:rPr>
                <w:b w:val="0"/>
                <w:i w:val="0"/>
                <w:sz w:val="18"/>
              </w:rPr>
              <w:t>Compare learned top-3 routing (A) with input-independent slots (R), a frozen random router (X), fixed block routing (B2), the matched no-branch control (G) and a MAC-matched Swin.</w:t>
            </w:r>
          </w:p>
        </w:tc>
        <w:tc>
          <w:tcPr>
            <w:tcW w:type="dxa" w:w="2835"/>
            <w:vAlign w:val="top"/>
          </w:tcPr>
          <w:p>
            <w:pPr>
              <w:spacing w:after="0" w:before="0"/>
            </w:pPr>
            <w:r/>
            <w:r>
              <w:rPr>
                <w:b w:val="0"/>
                <w:i w:val="0"/>
                <w:sz w:val="18"/>
              </w:rPr>
              <w:t>At least 5 seeds per arm after per-arm LR sweeps; outcome reported as superiority, equivalence or inconclusive at a +/-0.5-point margin.</w:t>
            </w:r>
          </w:p>
        </w:tc>
      </w:tr>
      <w:tr>
        <w:trPr>
          <w:cantSplit w:val="true"/>
        </w:trPr>
        <w:tc>
          <w:tcPr>
            <w:tcW w:type="dxa" w:w="680"/>
            <w:vAlign w:val="top"/>
            <w:shd w:val="clear" w:color="auto" w:fill="EAF1F4"/>
          </w:tcPr>
          <w:p>
            <w:pPr>
              <w:spacing w:after="0" w:before="0"/>
            </w:pPr>
            <w:r/>
            <w:r>
              <w:rPr>
                <w:b/>
                <w:i w:val="0"/>
                <w:sz w:val="18"/>
              </w:rPr>
              <w:t>RO3</w:t>
            </w:r>
          </w:p>
        </w:tc>
        <w:tc>
          <w:tcPr>
            <w:tcW w:type="dxa" w:w="1928"/>
            <w:vAlign w:val="top"/>
            <w:shd w:val="clear" w:color="auto" w:fill="EAF1F4"/>
          </w:tcPr>
          <w:p>
            <w:pPr>
              <w:spacing w:after="0" w:before="0"/>
            </w:pPr>
            <w:r/>
            <w:r>
              <w:rPr>
                <w:b w:val="0"/>
                <w:i w:val="0"/>
                <w:sz w:val="18"/>
              </w:rPr>
              <w:t>Scale and resolution (RQ2)</w:t>
            </w:r>
          </w:p>
        </w:tc>
        <w:tc>
          <w:tcPr>
            <w:tcW w:type="dxa" w:w="4195"/>
            <w:vAlign w:val="top"/>
            <w:shd w:val="clear" w:color="auto" w:fill="EAF1F4"/>
          </w:tcPr>
          <w:p>
            <w:pPr>
              <w:spacing w:after="0" w:before="0"/>
            </w:pPr>
            <w:r/>
            <w:r>
              <w:rPr>
                <w:b w:val="0"/>
                <w:i w:val="0"/>
                <w:sz w:val="18"/>
              </w:rPr>
              <w:t>Repeat the comparison on ImageNet-100 at 112x112 or higher, using the arms that survive RO2.</w:t>
            </w:r>
          </w:p>
        </w:tc>
        <w:tc>
          <w:tcPr>
            <w:tcW w:type="dxa" w:w="2835"/>
            <w:vAlign w:val="top"/>
            <w:shd w:val="clear" w:color="auto" w:fill="EAF1F4"/>
          </w:tcPr>
          <w:p>
            <w:pPr>
              <w:spacing w:after="0" w:before="0"/>
            </w:pPr>
            <w:r/>
            <w:r>
              <w:rPr>
                <w:b w:val="0"/>
                <w:i w:val="0"/>
                <w:sz w:val="18"/>
              </w:rPr>
              <w:t>Contrast of A versus the best control and Swin at tuned rates, with confidence intervals.</w:t>
            </w:r>
          </w:p>
        </w:tc>
      </w:tr>
      <w:tr>
        <w:trPr>
          <w:cantSplit w:val="true"/>
        </w:trPr>
        <w:tc>
          <w:tcPr>
            <w:tcW w:type="dxa" w:w="680"/>
            <w:vAlign w:val="top"/>
          </w:tcPr>
          <w:p>
            <w:pPr>
              <w:spacing w:after="0" w:before="0"/>
            </w:pPr>
            <w:r/>
            <w:r>
              <w:rPr>
                <w:b/>
                <w:i w:val="0"/>
                <w:sz w:val="18"/>
              </w:rPr>
              <w:t>RO4</w:t>
            </w:r>
          </w:p>
        </w:tc>
        <w:tc>
          <w:tcPr>
            <w:tcW w:type="dxa" w:w="1928"/>
            <w:vAlign w:val="top"/>
          </w:tcPr>
          <w:p>
            <w:pPr>
              <w:spacing w:after="0" w:before="0"/>
            </w:pPr>
            <w:r/>
            <w:r>
              <w:rPr>
                <w:b w:val="0"/>
                <w:i w:val="0"/>
                <w:sz w:val="18"/>
              </w:rPr>
              <w:t>Quantitative region evaluation (RQ3)</w:t>
            </w:r>
          </w:p>
        </w:tc>
        <w:tc>
          <w:tcPr>
            <w:tcW w:type="dxa" w:w="4195"/>
            <w:vAlign w:val="top"/>
          </w:tcPr>
          <w:p>
            <w:pPr>
              <w:spacing w:after="0" w:before="0"/>
            </w:pPr>
            <w:r/>
            <w:r>
              <w:rPr>
                <w:b w:val="0"/>
                <w:i w:val="0"/>
                <w:sz w:val="18"/>
              </w:rPr>
              <w:t>Score macro-regions against ground-truth object masks on a class subset fixed in advance, versus patch-grid, SLIC and frozen self-supervised attention-cluster baselines.</w:t>
            </w:r>
          </w:p>
        </w:tc>
        <w:tc>
          <w:tcPr>
            <w:tcW w:type="dxa" w:w="2835"/>
            <w:vAlign w:val="top"/>
          </w:tcPr>
          <w:p>
            <w:pPr>
              <w:spacing w:after="0" w:before="0"/>
            </w:pPr>
            <w:r/>
            <w:r>
              <w:rPr>
                <w:b w:val="0"/>
                <w:i w:val="0"/>
                <w:sz w:val="18"/>
              </w:rPr>
              <w:t>mIoU and region purity with bootstrap intervals; null result accepted and reported.</w:t>
            </w:r>
          </w:p>
        </w:tc>
      </w:tr>
      <w:tr>
        <w:trPr>
          <w:cantSplit w:val="true"/>
        </w:trPr>
        <w:tc>
          <w:tcPr>
            <w:tcW w:type="dxa" w:w="680"/>
            <w:vAlign w:val="top"/>
            <w:shd w:val="clear" w:color="auto" w:fill="EAF1F4"/>
          </w:tcPr>
          <w:p>
            <w:pPr>
              <w:spacing w:after="0" w:before="0"/>
            </w:pPr>
            <w:r/>
            <w:r>
              <w:rPr>
                <w:b/>
                <w:i w:val="0"/>
                <w:sz w:val="18"/>
              </w:rPr>
              <w:t>RO5</w:t>
            </w:r>
          </w:p>
        </w:tc>
        <w:tc>
          <w:tcPr>
            <w:tcW w:type="dxa" w:w="1928"/>
            <w:vAlign w:val="top"/>
            <w:shd w:val="clear" w:color="auto" w:fill="EAF1F4"/>
          </w:tcPr>
          <w:p>
            <w:pPr>
              <w:spacing w:after="0" w:before="0"/>
            </w:pPr>
            <w:r/>
            <w:r>
              <w:rPr>
                <w:b w:val="0"/>
                <w:i w:val="0"/>
                <w:sz w:val="18"/>
              </w:rPr>
              <w:t>Protocol and dissemination (RQ4)</w:t>
            </w:r>
          </w:p>
        </w:tc>
        <w:tc>
          <w:tcPr>
            <w:tcW w:type="dxa" w:w="4195"/>
            <w:vAlign w:val="top"/>
            <w:shd w:val="clear" w:color="auto" w:fill="EAF1F4"/>
          </w:tcPr>
          <w:p>
            <w:pPr>
              <w:spacing w:after="0" w:before="0"/>
            </w:pPr>
            <w:r/>
            <w:r>
              <w:rPr>
                <w:b w:val="0"/>
                <w:i w:val="0"/>
                <w:sz w:val="18"/>
              </w:rPr>
              <w:t>Register analysis plans on OSF before final runs, separate a validation split from the test split, release the harness, and submit two manuscripts.</w:t>
            </w:r>
          </w:p>
        </w:tc>
        <w:tc>
          <w:tcPr>
            <w:tcW w:type="dxa" w:w="2835"/>
            <w:vAlign w:val="top"/>
            <w:shd w:val="clear" w:color="auto" w:fill="EAF1F4"/>
          </w:tcPr>
          <w:p>
            <w:pPr>
              <w:spacing w:after="0" w:before="0"/>
            </w:pPr>
            <w:r/>
            <w:r>
              <w:rPr>
                <w:b w:val="0"/>
                <w:i w:val="0"/>
                <w:sz w:val="18"/>
              </w:rPr>
              <w:t>OSF record dated before final runs; public licensed repository; two submissions (audit paper first).</w:t>
            </w:r>
          </w:p>
        </w:tc>
      </w:tr>
    </w:tbl>
    <w:p>
      <w:pPr>
        <w:spacing w:after="160"/>
      </w:pPr>
      <w:r>
        <w:rPr>
          <w:b w:val="0"/>
          <w:i/>
          <w:color w:val="5B6B77"/>
          <w:sz w:val="18"/>
        </w:rPr>
        <w:t>Table 4. Research objectives. RO1 and RO5 are enabling objectives; RO2 to RO4 are the scientific core.</w:t>
      </w:r>
    </w:p>
    <w:p>
      <w:pPr>
        <w:pStyle w:val="Heading1"/>
      </w:pPr>
      <w:r>
        <w:t>6. Proposed methodology</w:t>
      </w:r>
    </w:p>
    <w:p>
      <w:pPr>
        <w:jc w:val="both"/>
      </w:pPr>
      <w:r>
        <w:rPr>
          <w:b w:val="0"/>
          <w:i w:val="0"/>
        </w:rPr>
        <w:t>All arms share one hierarchical backbone (D = 192, depths [2, 6, 6, 2], 256 tokens, 32 slots) and differ only in how the macro branch is formed. Parameters and MACs are matched and verified with a FLOP counter.</w:t>
      </w:r>
    </w:p>
    <w:tbl>
      <w:tblPr>
        <w:tblW w:type="auto" w:w="0"/>
        <w:jc w:val="center"/>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50" w:type="dxa"/>
          <w:left w:w="80" w:type="dxa"/>
          <w:bottom w:w="50" w:type="dxa"/>
          <w:right w:w="80" w:type="dxa"/>
        </w:tblCellMar>
        <w:tblLayout w:type="fixed"/>
      </w:tblPr>
      <w:tblGrid>
        <w:gridCol w:w="907"/>
        <w:gridCol w:w="5102"/>
        <w:gridCol w:w="3628"/>
      </w:tblGrid>
      <w:tr>
        <w:trPr>
          <w:tblHeader w:val="true"/>
        </w:trPr>
        <w:tc>
          <w:tcPr>
            <w:tcW w:type="dxa" w:w="907"/>
            <w:vAlign w:val="center"/>
            <w:shd w:val="clear" w:color="auto" w:fill="0F2A3D"/>
          </w:tcPr>
          <w:p>
            <w:pPr>
              <w:spacing w:after="0" w:before="0"/>
            </w:pPr>
            <w:r/>
            <w:r>
              <w:rPr>
                <w:b/>
                <w:i w:val="0"/>
                <w:color w:val="FFFFFF"/>
                <w:sz w:val="19"/>
              </w:rPr>
              <w:t>Arm</w:t>
            </w:r>
          </w:p>
        </w:tc>
        <w:tc>
          <w:tcPr>
            <w:tcW w:type="dxa" w:w="5102"/>
            <w:vAlign w:val="center"/>
            <w:shd w:val="clear" w:color="auto" w:fill="0F2A3D"/>
          </w:tcPr>
          <w:p>
            <w:pPr>
              <w:spacing w:after="0" w:before="0"/>
            </w:pPr>
            <w:r/>
            <w:r>
              <w:rPr>
                <w:b/>
                <w:i w:val="0"/>
                <w:color w:val="FFFFFF"/>
                <w:sz w:val="19"/>
              </w:rPr>
              <w:t>Description</w:t>
            </w:r>
          </w:p>
        </w:tc>
        <w:tc>
          <w:tcPr>
            <w:tcW w:type="dxa" w:w="3628"/>
            <w:vAlign w:val="center"/>
            <w:shd w:val="clear" w:color="auto" w:fill="0F2A3D"/>
          </w:tcPr>
          <w:p>
            <w:pPr>
              <w:spacing w:after="0" w:before="0"/>
            </w:pPr>
            <w:r/>
            <w:r>
              <w:rPr>
                <w:b/>
                <w:i w:val="0"/>
                <w:color w:val="FFFFFF"/>
                <w:sz w:val="19"/>
              </w:rPr>
              <w:t>Role</w:t>
            </w:r>
          </w:p>
        </w:tc>
      </w:tr>
      <w:tr>
        <w:trPr>
          <w:cantSplit w:val="true"/>
        </w:trPr>
        <w:tc>
          <w:tcPr>
            <w:tcW w:type="dxa" w:w="907"/>
            <w:vAlign w:val="top"/>
            <w:shd w:val="clear" w:color="auto" w:fill="EAF1F4"/>
          </w:tcPr>
          <w:p>
            <w:pPr>
              <w:spacing w:after="0" w:before="0"/>
            </w:pPr>
            <w:r/>
            <w:r>
              <w:rPr>
                <w:b/>
                <w:i w:val="0"/>
                <w:sz w:val="19"/>
              </w:rPr>
              <w:t>A</w:t>
            </w:r>
          </w:p>
        </w:tc>
        <w:tc>
          <w:tcPr>
            <w:tcW w:type="dxa" w:w="5102"/>
            <w:vAlign w:val="top"/>
            <w:shd w:val="clear" w:color="auto" w:fill="EAF1F4"/>
          </w:tcPr>
          <w:p>
            <w:pPr>
              <w:spacing w:after="0" w:before="0"/>
            </w:pPr>
            <w:r/>
            <w:r>
              <w:rPr>
                <w:b w:val="0"/>
                <w:i w:val="0"/>
                <w:sz w:val="19"/>
              </w:rPr>
              <w:t>Learned top-3 routing, auxiliary loss on</w:t>
            </w:r>
          </w:p>
        </w:tc>
        <w:tc>
          <w:tcPr>
            <w:tcW w:type="dxa" w:w="3628"/>
            <w:vAlign w:val="top"/>
            <w:shd w:val="clear" w:color="auto" w:fill="EAF1F4"/>
          </w:tcPr>
          <w:p>
            <w:pPr>
              <w:spacing w:after="0" w:before="0"/>
            </w:pPr>
            <w:r/>
            <w:r>
              <w:rPr>
                <w:b w:val="0"/>
                <w:i w:val="0"/>
                <w:sz w:val="19"/>
              </w:rPr>
              <w:t>the minor-project branch</w:t>
            </w:r>
          </w:p>
        </w:tc>
      </w:tr>
      <w:tr>
        <w:trPr>
          <w:cantSplit w:val="true"/>
        </w:trPr>
        <w:tc>
          <w:tcPr>
            <w:tcW w:type="dxa" w:w="907"/>
            <w:vAlign w:val="top"/>
          </w:tcPr>
          <w:p>
            <w:pPr>
              <w:spacing w:after="0" w:before="0"/>
            </w:pPr>
            <w:r/>
            <w:r>
              <w:rPr>
                <w:b/>
                <w:i w:val="0"/>
                <w:sz w:val="19"/>
              </w:rPr>
              <w:t>R</w:t>
            </w:r>
          </w:p>
        </w:tc>
        <w:tc>
          <w:tcPr>
            <w:tcW w:type="dxa" w:w="5102"/>
            <w:vAlign w:val="top"/>
          </w:tcPr>
          <w:p>
            <w:pPr>
              <w:spacing w:after="0" w:before="0"/>
            </w:pPr>
            <w:r/>
            <w:r>
              <w:rPr>
                <w:b w:val="0"/>
                <w:i w:val="0"/>
                <w:sz w:val="19"/>
              </w:rPr>
              <w:t>Input-independent learned slots (registers)</w:t>
            </w:r>
          </w:p>
        </w:tc>
        <w:tc>
          <w:tcPr>
            <w:tcW w:type="dxa" w:w="3628"/>
            <w:vAlign w:val="top"/>
          </w:tcPr>
          <w:p>
            <w:pPr>
              <w:spacing w:after="0" w:before="0"/>
            </w:pPr>
            <w:r/>
            <w:r>
              <w:rPr>
                <w:b w:val="0"/>
                <w:i w:val="0"/>
                <w:sz w:val="19"/>
              </w:rPr>
              <w:t>capacity control</w:t>
            </w:r>
          </w:p>
        </w:tc>
      </w:tr>
      <w:tr>
        <w:trPr>
          <w:cantSplit w:val="true"/>
        </w:trPr>
        <w:tc>
          <w:tcPr>
            <w:tcW w:type="dxa" w:w="907"/>
            <w:vAlign w:val="top"/>
            <w:shd w:val="clear" w:color="auto" w:fill="EAF1F4"/>
          </w:tcPr>
          <w:p>
            <w:pPr>
              <w:spacing w:after="0" w:before="0"/>
            </w:pPr>
            <w:r/>
            <w:r>
              <w:rPr>
                <w:b/>
                <w:i w:val="0"/>
                <w:sz w:val="19"/>
              </w:rPr>
              <w:t>X</w:t>
            </w:r>
          </w:p>
        </w:tc>
        <w:tc>
          <w:tcPr>
            <w:tcW w:type="dxa" w:w="5102"/>
            <w:vAlign w:val="top"/>
            <w:shd w:val="clear" w:color="auto" w:fill="EAF1F4"/>
          </w:tcPr>
          <w:p>
            <w:pPr>
              <w:spacing w:after="0" w:before="0"/>
            </w:pPr>
            <w:r/>
            <w:r>
              <w:rPr>
                <w:b w:val="0"/>
                <w:i w:val="0"/>
                <w:sz w:val="19"/>
              </w:rPr>
              <w:t>Frozen random router, top-3</w:t>
            </w:r>
          </w:p>
        </w:tc>
        <w:tc>
          <w:tcPr>
            <w:tcW w:type="dxa" w:w="3628"/>
            <w:vAlign w:val="top"/>
            <w:shd w:val="clear" w:color="auto" w:fill="EAF1F4"/>
          </w:tcPr>
          <w:p>
            <w:pPr>
              <w:spacing w:after="0" w:before="0"/>
            </w:pPr>
            <w:r/>
            <w:r>
              <w:rPr>
                <w:b w:val="0"/>
                <w:i w:val="0"/>
                <w:sz w:val="19"/>
              </w:rPr>
              <w:t>routing without learning</w:t>
            </w:r>
          </w:p>
        </w:tc>
      </w:tr>
      <w:tr>
        <w:trPr>
          <w:cantSplit w:val="true"/>
        </w:trPr>
        <w:tc>
          <w:tcPr>
            <w:tcW w:type="dxa" w:w="907"/>
            <w:vAlign w:val="top"/>
          </w:tcPr>
          <w:p>
            <w:pPr>
              <w:spacing w:after="0" w:before="0"/>
            </w:pPr>
            <w:r/>
            <w:r>
              <w:rPr>
                <w:b/>
                <w:i w:val="0"/>
                <w:sz w:val="19"/>
              </w:rPr>
              <w:t>B2</w:t>
            </w:r>
          </w:p>
        </w:tc>
        <w:tc>
          <w:tcPr>
            <w:tcW w:type="dxa" w:w="5102"/>
            <w:vAlign w:val="top"/>
          </w:tcPr>
          <w:p>
            <w:pPr>
              <w:spacing w:after="0" w:before="0"/>
            </w:pPr>
            <w:r/>
            <w:r>
              <w:rPr>
                <w:b w:val="0"/>
                <w:i w:val="0"/>
                <w:sz w:val="19"/>
              </w:rPr>
              <w:t>Fixed block routing</w:t>
            </w:r>
          </w:p>
        </w:tc>
        <w:tc>
          <w:tcPr>
            <w:tcW w:type="dxa" w:w="3628"/>
            <w:vAlign w:val="top"/>
          </w:tcPr>
          <w:p>
            <w:pPr>
              <w:spacing w:after="0" w:before="0"/>
            </w:pPr>
            <w:r/>
            <w:r>
              <w:rPr>
                <w:b w:val="0"/>
                <w:i w:val="0"/>
                <w:sz w:val="19"/>
              </w:rPr>
              <w:t>spatial-prior control</w:t>
            </w:r>
          </w:p>
        </w:tc>
      </w:tr>
      <w:tr>
        <w:trPr>
          <w:cantSplit w:val="true"/>
        </w:trPr>
        <w:tc>
          <w:tcPr>
            <w:tcW w:type="dxa" w:w="907"/>
            <w:vAlign w:val="top"/>
            <w:shd w:val="clear" w:color="auto" w:fill="EAF1F4"/>
          </w:tcPr>
          <w:p>
            <w:pPr>
              <w:spacing w:after="0" w:before="0"/>
            </w:pPr>
            <w:r/>
            <w:r>
              <w:rPr>
                <w:b/>
                <w:i w:val="0"/>
                <w:sz w:val="19"/>
              </w:rPr>
              <w:t>G</w:t>
            </w:r>
          </w:p>
        </w:tc>
        <w:tc>
          <w:tcPr>
            <w:tcW w:type="dxa" w:w="5102"/>
            <w:vAlign w:val="top"/>
            <w:shd w:val="clear" w:color="auto" w:fill="EAF1F4"/>
          </w:tcPr>
          <w:p>
            <w:pPr>
              <w:spacing w:after="0" w:before="0"/>
            </w:pPr>
            <w:r/>
            <w:r>
              <w:rPr>
                <w:b w:val="0"/>
                <w:i w:val="0"/>
                <w:sz w:val="19"/>
              </w:rPr>
              <w:t>No branch, capacity spent in the backbone</w:t>
            </w:r>
          </w:p>
        </w:tc>
        <w:tc>
          <w:tcPr>
            <w:tcW w:type="dxa" w:w="3628"/>
            <w:vAlign w:val="top"/>
            <w:shd w:val="clear" w:color="auto" w:fill="EAF1F4"/>
          </w:tcPr>
          <w:p>
            <w:pPr>
              <w:spacing w:after="0" w:before="0"/>
            </w:pPr>
            <w:r/>
            <w:r>
              <w:rPr>
                <w:b w:val="0"/>
                <w:i w:val="0"/>
                <w:sz w:val="19"/>
              </w:rPr>
              <w:t>compute-matched control</w:t>
            </w:r>
          </w:p>
        </w:tc>
      </w:tr>
      <w:tr>
        <w:trPr>
          <w:cantSplit w:val="true"/>
        </w:trPr>
        <w:tc>
          <w:tcPr>
            <w:tcW w:type="dxa" w:w="907"/>
            <w:vAlign w:val="top"/>
          </w:tcPr>
          <w:p>
            <w:pPr>
              <w:spacing w:after="0" w:before="0"/>
            </w:pPr>
            <w:r/>
            <w:r>
              <w:rPr>
                <w:b/>
                <w:i w:val="0"/>
                <w:sz w:val="19"/>
              </w:rPr>
              <w:t>S</w:t>
            </w:r>
          </w:p>
        </w:tc>
        <w:tc>
          <w:tcPr>
            <w:tcW w:type="dxa" w:w="5102"/>
            <w:vAlign w:val="top"/>
          </w:tcPr>
          <w:p>
            <w:pPr>
              <w:spacing w:after="0" w:before="0"/>
            </w:pPr>
            <w:r/>
            <w:r>
              <w:rPr>
                <w:b w:val="0"/>
                <w:i w:val="0"/>
                <w:sz w:val="19"/>
              </w:rPr>
              <w:t>MAC-matched Swin</w:t>
            </w:r>
          </w:p>
        </w:tc>
        <w:tc>
          <w:tcPr>
            <w:tcW w:type="dxa" w:w="3628"/>
            <w:vAlign w:val="top"/>
          </w:tcPr>
          <w:p>
            <w:pPr>
              <w:spacing w:after="0" w:before="0"/>
            </w:pPr>
            <w:r/>
            <w:r>
              <w:rPr>
                <w:b w:val="0"/>
                <w:i w:val="0"/>
                <w:sz w:val="19"/>
              </w:rPr>
              <w:t>backbone comparator</w:t>
            </w:r>
          </w:p>
        </w:tc>
      </w:tr>
    </w:tbl>
    <w:p>
      <w:pPr>
        <w:spacing w:after="160"/>
      </w:pPr>
      <w:r>
        <w:rPr>
          <w:b w:val="0"/>
          <w:i/>
          <w:color w:val="5B6B77"/>
          <w:sz w:val="18"/>
        </w:rPr>
        <w:t>Table 5. Experimental arms.</w:t>
      </w:r>
    </w:p>
    <w:p>
      <w:pPr>
        <w:pStyle w:val="Heading2"/>
      </w:pPr>
      <w:r>
        <w:t>6.1 Evaluation protocol</w:t>
      </w:r>
    </w:p>
    <w:p>
      <w:pPr>
        <w:pStyle w:val="ListBullet"/>
        <w:spacing w:after="40"/>
      </w:pPr>
      <w:r>
        <w:rPr>
          <w:sz w:val="21"/>
        </w:rPr>
        <w:t>Per-arm learning-rate sweep, 4 to 5 rates, at least 3 seeds per rate, on a held-out validation split carved from training data</w:t>
      </w:r>
    </w:p>
    <w:p>
      <w:pPr>
        <w:pStyle w:val="ListBullet"/>
        <w:spacing w:after="40"/>
      </w:pPr>
      <w:r>
        <w:rPr>
          <w:sz w:val="21"/>
        </w:rPr>
        <w:t>Final runs: at least 5 seeds per arm, last epoch, test set evaluated once; no best-epoch selection</w:t>
      </w:r>
    </w:p>
    <w:p>
      <w:pPr>
        <w:pStyle w:val="ListBullet"/>
        <w:spacing w:after="40"/>
      </w:pPr>
      <w:r>
        <w:rPr>
          <w:sz w:val="21"/>
        </w:rPr>
        <w:t>Matched parameters and MACs verified by FlopCounter; GPU-hours logged per run</w:t>
      </w:r>
    </w:p>
    <w:p>
      <w:pPr>
        <w:pStyle w:val="ListBullet"/>
        <w:spacing w:after="40"/>
      </w:pPr>
      <w:r>
        <w:rPr>
          <w:sz w:val="21"/>
        </w:rPr>
        <w:t>Welch test with Holm correction, TOST equivalence at a 0.5-point margin; contrasts named before the runs</w:t>
      </w:r>
    </w:p>
    <w:p>
      <w:pPr>
        <w:pStyle w:val="ListBullet"/>
        <w:spacing w:after="40"/>
      </w:pPr>
      <w:r>
        <w:rPr>
          <w:sz w:val="21"/>
        </w:rPr>
        <w:t>Analysis plan registered on OSF before the final runs; deviations logged</w:t>
      </w:r>
    </w:p>
    <w:p>
      <w:pPr>
        <w:pStyle w:val="Heading2"/>
      </w:pPr>
      <w:r>
        <w:t>6.2 Data sets and metrics</w:t>
      </w:r>
    </w:p>
    <w:p>
      <w:pPr>
        <w:pStyle w:val="ListBullet"/>
        <w:spacing w:after="40"/>
      </w:pPr>
      <w:r>
        <w:rPr>
          <w:b/>
          <w:sz w:val="21"/>
        </w:rPr>
        <w:t xml:space="preserve">CIFAR-100 and Tiny-ImageNet-200: </w:t>
      </w:r>
      <w:r>
        <w:rPr>
          <w:sz w:val="21"/>
        </w:rPr>
        <w:t>top-1 accuracy at the last epoch, plus calibration (ECE) and CIFAR-100-C robustness as secondary outputs.</w:t>
      </w:r>
    </w:p>
    <w:p>
      <w:pPr>
        <w:pStyle w:val="ListBullet"/>
        <w:spacing w:after="40"/>
      </w:pPr>
      <w:r>
        <w:rPr>
          <w:b/>
          <w:sz w:val="21"/>
        </w:rPr>
        <w:t xml:space="preserve">ImageNet-100 (RO3): </w:t>
      </w:r>
      <w:r>
        <w:rPr>
          <w:sz w:val="21"/>
        </w:rPr>
        <w:t>top-1 at 112x112 or higher, using the arms that survive RO2; class list fixed before training.</w:t>
      </w:r>
    </w:p>
    <w:p>
      <w:pPr>
        <w:pStyle w:val="ListBullet"/>
        <w:spacing w:after="40"/>
      </w:pPr>
      <w:r>
        <w:rPr>
          <w:b/>
          <w:sz w:val="21"/>
        </w:rPr>
        <w:t xml:space="preserve">Region evaluation (RO4): </w:t>
      </w:r>
      <w:r>
        <w:rPr>
          <w:sz w:val="21"/>
        </w:rPr>
        <w:t>mIoU and region purity against ground-truth object masks on a class subset fixed in advance; baselines are the patch grid, SLIC superpixels and attention-cluster regions from a frozen self-supervised model; bootstrap intervals.</w:t>
      </w:r>
    </w:p>
    <w:p>
      <w:pPr>
        <w:pStyle w:val="ListBullet"/>
        <w:spacing w:after="40"/>
      </w:pPr>
      <w:r>
        <w:rPr>
          <w:b/>
          <w:sz w:val="21"/>
        </w:rPr>
        <w:t xml:space="preserve">Statistics: </w:t>
      </w:r>
      <w:r>
        <w:rPr>
          <w:sz w:val="21"/>
        </w:rPr>
        <w:t>Welch test with Holm correction within each family, TOST equivalence at a 0.5-point margin, two-level bootstrap as a sensitivity check; contrasts named in an OSF-registered plan before the final runs.</w:t>
      </w:r>
    </w:p>
    <w:p>
      <w:pPr>
        <w:pStyle w:val="Heading2"/>
      </w:pPr>
      <w:r>
        <w:t>6.3 Compute estimate</w:t>
      </w:r>
    </w:p>
    <w:p>
      <w:pPr>
        <w:jc w:val="both"/>
      </w:pPr>
      <w:r>
        <w:rPr>
          <w:b w:val="0"/>
          <w:i w:val="0"/>
        </w:rPr>
        <w:t>The audit averaged about 1 H100-hour per run (229.29 H100-hours for 237 runs). RO2 needs roughly 200 runs at that rate. ImageNet-100 is additional and is the main compute risk; if the available budget is short, it will be reduced to arm A, the best control and arm G. The available GPU budget will be confirmed at Review I.</w:t>
      </w:r>
    </w:p>
    <w:p>
      <w:pPr>
        <w:pStyle w:val="Heading1"/>
      </w:pPr>
      <w:r>
        <w:t>7. Project SDG and its contribution to the Sustainable Development Goals</w:t>
      </w:r>
    </w:p>
    <w:tbl>
      <w:tblPr>
        <w:tblW w:type="auto" w:w="0"/>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80" w:type="dxa"/>
          <w:left w:w="100" w:type="dxa"/>
          <w:bottom w:w="80" w:type="dxa"/>
          <w:right w:w="100" w:type="dxa"/>
        </w:tblCellMar>
        <w:tblLayout w:type="fixed"/>
      </w:tblPr>
      <w:tblGrid>
        <w:gridCol w:w="2154"/>
        <w:gridCol w:w="7483"/>
      </w:tblGrid>
      <w:tr>
        <w:trPr>
          <w:cantSplit w:val="true"/>
        </w:trPr>
        <w:tc>
          <w:tcPr>
            <w:tcW w:type="dxa" w:w="2154"/>
            <w:vAlign w:val="center"/>
          </w:tcPr>
          <w:p>
            <w:r>
              <w:drawing>
                <wp:inline xmlns:a="http://schemas.openxmlformats.org/drawingml/2006/main" xmlns:pic="http://schemas.openxmlformats.org/drawingml/2006/picture">
                  <wp:extent cx="1080000" cy="1041429"/>
                  <wp:docPr id="2" name="Picture 2"/>
                  <wp:cNvGraphicFramePr>
                    <a:graphicFrameLocks noChangeAspect="1"/>
                  </wp:cNvGraphicFramePr>
                  <a:graphic>
                    <a:graphicData uri="http://schemas.openxmlformats.org/drawingml/2006/picture">
                      <pic:pic>
                        <pic:nvPicPr>
                          <pic:cNvPr id="0" name="sdg9.png"/>
                          <pic:cNvPicPr/>
                        </pic:nvPicPr>
                        <pic:blipFill>
                          <a:blip r:embed="rId11"/>
                          <a:stretch>
                            <a:fillRect/>
                          </a:stretch>
                        </pic:blipFill>
                        <pic:spPr>
                          <a:xfrm>
                            <a:off x="0" y="0"/>
                            <a:ext cx="1080000" cy="1041429"/>
                          </a:xfrm>
                          <a:prstGeom prst="rect"/>
                        </pic:spPr>
                      </pic:pic>
                    </a:graphicData>
                  </a:graphic>
                </wp:inline>
              </w:drawing>
            </w:r>
          </w:p>
        </w:tc>
        <w:tc>
          <w:tcPr>
            <w:tcW w:type="dxa" w:w="7483"/>
          </w:tcPr>
          <w:p>
            <w:r/>
            <w:r>
              <w:rPr>
                <w:b/>
                <w:color w:val="0F2A3D"/>
                <w:sz w:val="21"/>
              </w:rPr>
              <w:t>SDG 9: Industry, Innovation and Infrastructure (primary)</w:t>
            </w:r>
          </w:p>
          <w:p>
            <w:r>
              <w:rPr>
                <w:sz w:val="20"/>
              </w:rPr>
              <w:t>Target 9.5: strengthens scientific research. Delivers an open, licensed, reproducible evaluation harness for token-grouping vision models and a capacity-controlled benchmark protocol others can reuse.</w:t>
            </w:r>
          </w:p>
        </w:tc>
      </w:tr>
      <w:tr>
        <w:trPr>
          <w:cantSplit w:val="true"/>
        </w:trPr>
        <w:tc>
          <w:tcPr>
            <w:tcW w:type="dxa" w:w="2154"/>
            <w:vAlign w:val="center"/>
          </w:tcPr>
          <w:p>
            <w:r>
              <w:drawing>
                <wp:inline xmlns:a="http://schemas.openxmlformats.org/drawingml/2006/main" xmlns:pic="http://schemas.openxmlformats.org/drawingml/2006/picture">
                  <wp:extent cx="1080000" cy="1048921"/>
                  <wp:docPr id="3" name="Picture 3"/>
                  <wp:cNvGraphicFramePr>
                    <a:graphicFrameLocks noChangeAspect="1"/>
                  </wp:cNvGraphicFramePr>
                  <a:graphic>
                    <a:graphicData uri="http://schemas.openxmlformats.org/drawingml/2006/picture">
                      <pic:pic>
                        <pic:nvPicPr>
                          <pic:cNvPr id="0" name="sdg12.png"/>
                          <pic:cNvPicPr/>
                        </pic:nvPicPr>
                        <pic:blipFill>
                          <a:blip r:embed="rId12"/>
                          <a:stretch>
                            <a:fillRect/>
                          </a:stretch>
                        </pic:blipFill>
                        <pic:spPr>
                          <a:xfrm>
                            <a:off x="0" y="0"/>
                            <a:ext cx="1080000" cy="1048921"/>
                          </a:xfrm>
                          <a:prstGeom prst="rect"/>
                        </pic:spPr>
                      </pic:pic>
                    </a:graphicData>
                  </a:graphic>
                </wp:inline>
              </w:drawing>
            </w:r>
          </w:p>
        </w:tc>
        <w:tc>
          <w:tcPr>
            <w:tcW w:type="dxa" w:w="7483"/>
          </w:tcPr>
          <w:p>
            <w:r/>
            <w:r>
              <w:rPr>
                <w:b/>
                <w:color w:val="0F2A3D"/>
                <w:sz w:val="21"/>
              </w:rPr>
              <w:t>SDG 12: Responsible Consumption and Production</w:t>
            </w:r>
          </w:p>
          <w:p>
            <w:r>
              <w:rPr>
                <w:sz w:val="20"/>
              </w:rPr>
              <w:t>Fair-comparison protocol and published negative or equivalence results reduce wasted GPU runs on claims that do not hold; every run's GPU-hours and MACs are reported.</w:t>
            </w:r>
          </w:p>
        </w:tc>
      </w:tr>
      <w:tr>
        <w:trPr>
          <w:cantSplit w:val="true"/>
        </w:trPr>
        <w:tc>
          <w:tcPr>
            <w:tcW w:type="dxa" w:w="2154"/>
            <w:vAlign w:val="center"/>
          </w:tcPr>
          <w:p>
            <w:r>
              <w:drawing>
                <wp:inline xmlns:a="http://schemas.openxmlformats.org/drawingml/2006/main" xmlns:pic="http://schemas.openxmlformats.org/drawingml/2006/picture">
                  <wp:extent cx="1080000" cy="1087941"/>
                  <wp:docPr id="4" name="Picture 4"/>
                  <wp:cNvGraphicFramePr>
                    <a:graphicFrameLocks noChangeAspect="1"/>
                  </wp:cNvGraphicFramePr>
                  <a:graphic>
                    <a:graphicData uri="http://schemas.openxmlformats.org/drawingml/2006/picture">
                      <pic:pic>
                        <pic:nvPicPr>
                          <pic:cNvPr id="0" name="sdg13.png"/>
                          <pic:cNvPicPr/>
                        </pic:nvPicPr>
                        <pic:blipFill>
                          <a:blip r:embed="rId13"/>
                          <a:stretch>
                            <a:fillRect/>
                          </a:stretch>
                        </pic:blipFill>
                        <pic:spPr>
                          <a:xfrm>
                            <a:off x="0" y="0"/>
                            <a:ext cx="1080000" cy="1087941"/>
                          </a:xfrm>
                          <a:prstGeom prst="rect"/>
                        </pic:spPr>
                      </pic:pic>
                    </a:graphicData>
                  </a:graphic>
                </wp:inline>
              </w:drawing>
            </w:r>
          </w:p>
        </w:tc>
        <w:tc>
          <w:tcPr>
            <w:tcW w:type="dxa" w:w="7483"/>
          </w:tcPr>
          <w:p>
            <w:r/>
            <w:r>
              <w:rPr>
                <w:b/>
                <w:color w:val="0F2A3D"/>
                <w:sz w:val="21"/>
              </w:rPr>
              <w:t>SDG 13: Climate Action</w:t>
            </w:r>
          </w:p>
          <w:p>
            <w:r>
              <w:rPr>
                <w:sz w:val="20"/>
              </w:rPr>
              <w:t>Efficiency-aware reporting (MACs, GPU-hours) makes the compute cost of architectural claims visible; contribution is indirect and not a measured emissions reduction.</w:t>
            </w:r>
          </w:p>
        </w:tc>
      </w:tr>
    </w:tbl>
    <w:p>
      <w:pPr>
        <w:spacing w:after="160"/>
      </w:pPr>
      <w:r>
        <w:rPr>
          <w:b w:val="0"/>
          <w:i/>
          <w:color w:val="5B6B77"/>
          <w:sz w:val="18"/>
        </w:rPr>
        <w:t>Figure 1. SDG alignment (official SDG tiles as supplied in the SRMIST project instructions). SDG 9 is primary; contributions to SDG 12 and 13 are indirect.</w:t>
      </w:r>
    </w:p>
    <w:p>
      <w:pPr>
        <w:pStyle w:val="Heading1"/>
      </w:pPr>
      <w:r>
        <w:t>8. Plan of action and timeline (Gantt chart)</w:t>
      </w:r>
    </w:p>
    <w:tbl>
      <w:tblPr>
        <w:tblW w:type="auto" w:w="0"/>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30" w:type="dxa"/>
          <w:left w:w="20" w:type="dxa"/>
          <w:bottom w:w="30" w:type="dxa"/>
          <w:right w:w="20" w:type="dxa"/>
        </w:tblCellMar>
        <w:tblLayout w:type="fixed"/>
      </w:tblPr>
      <w:tblGrid>
        <w:gridCol w:w="2834"/>
        <w:gridCol w:w="485"/>
        <w:gridCol w:w="485"/>
        <w:gridCol w:w="485"/>
        <w:gridCol w:w="485"/>
        <w:gridCol w:w="485"/>
        <w:gridCol w:w="485"/>
        <w:gridCol w:w="485"/>
        <w:gridCol w:w="485"/>
        <w:gridCol w:w="485"/>
        <w:gridCol w:w="485"/>
        <w:gridCol w:w="485"/>
        <w:gridCol w:w="485"/>
        <w:gridCol w:w="485"/>
        <w:gridCol w:w="485"/>
      </w:tblGrid>
      <w:tr>
        <w:tc>
          <w:tcPr>
            <w:tcW w:type="dxa" w:w="2835"/>
            <w:vAlign w:val="center"/>
            <w:shd w:val="clear" w:color="auto" w:fill="0F2A3D"/>
          </w:tcPr>
          <w:p>
            <w:pPr>
              <w:spacing w:after="0" w:before="0"/>
            </w:pPr>
            <w:r/>
            <w:r>
              <w:rPr>
                <w:b/>
                <w:i w:val="0"/>
                <w:color w:val="FFFFFF"/>
                <w:sz w:val="16"/>
              </w:rPr>
              <w:t>Work package</w:t>
            </w:r>
          </w:p>
        </w:tc>
        <w:tc>
          <w:tcPr>
            <w:tcW w:type="dxa" w:w="486"/>
            <w:gridSpan w:val="2"/>
            <w:vAlign w:val="center"/>
            <w:shd w:val="clear" w:color="auto" w:fill="0F2A3D"/>
          </w:tcPr>
          <w:p>
            <w:pPr>
              <w:spacing w:after="0" w:before="0"/>
              <w:jc w:val="center"/>
            </w:pPr>
            <w:r/>
            <w:r>
              <w:rPr>
                <w:b/>
                <w:i w:val="0"/>
                <w:color w:val="FFFFFF"/>
                <w:sz w:val="16"/>
              </w:rPr>
              <w:t>Nov</w:t>
            </w:r>
          </w:p>
        </w:tc>
        <w:tc>
          <w:tcPr>
            <w:tcW w:type="dxa" w:w="486"/>
            <w:gridSpan w:val="2"/>
            <w:vAlign w:val="center"/>
            <w:shd w:val="clear" w:color="auto" w:fill="2A4A5E"/>
          </w:tcPr>
          <w:p>
            <w:pPr>
              <w:spacing w:after="0" w:before="0"/>
              <w:jc w:val="center"/>
            </w:pPr>
            <w:r/>
            <w:r>
              <w:rPr>
                <w:b/>
                <w:i w:val="0"/>
                <w:color w:val="FFFFFF"/>
                <w:sz w:val="16"/>
              </w:rPr>
              <w:t>Dec</w:t>
            </w:r>
          </w:p>
        </w:tc>
        <w:tc>
          <w:tcPr>
            <w:tcW w:type="dxa" w:w="486"/>
            <w:gridSpan w:val="2"/>
            <w:vAlign w:val="center"/>
            <w:shd w:val="clear" w:color="auto" w:fill="0F2A3D"/>
          </w:tcPr>
          <w:p>
            <w:pPr>
              <w:spacing w:after="0" w:before="0"/>
              <w:jc w:val="center"/>
            </w:pPr>
            <w:r/>
            <w:r>
              <w:rPr>
                <w:b/>
                <w:i w:val="0"/>
                <w:color w:val="FFFFFF"/>
                <w:sz w:val="16"/>
              </w:rPr>
              <w:t>Jan</w:t>
            </w:r>
          </w:p>
        </w:tc>
        <w:tc>
          <w:tcPr>
            <w:tcW w:type="dxa" w:w="486"/>
            <w:gridSpan w:val="2"/>
            <w:vAlign w:val="center"/>
            <w:shd w:val="clear" w:color="auto" w:fill="2A4A5E"/>
          </w:tcPr>
          <w:p>
            <w:pPr>
              <w:spacing w:after="0" w:before="0"/>
              <w:jc w:val="center"/>
            </w:pPr>
            <w:r/>
            <w:r>
              <w:rPr>
                <w:b/>
                <w:i w:val="0"/>
                <w:color w:val="FFFFFF"/>
                <w:sz w:val="16"/>
              </w:rPr>
              <w:t>Feb</w:t>
            </w:r>
          </w:p>
        </w:tc>
        <w:tc>
          <w:tcPr>
            <w:tcW w:type="dxa" w:w="486"/>
            <w:gridSpan w:val="2"/>
            <w:vAlign w:val="center"/>
            <w:shd w:val="clear" w:color="auto" w:fill="0F2A3D"/>
          </w:tcPr>
          <w:p>
            <w:pPr>
              <w:spacing w:after="0" w:before="0"/>
              <w:jc w:val="center"/>
            </w:pPr>
            <w:r/>
            <w:r>
              <w:rPr>
                <w:b/>
                <w:i w:val="0"/>
                <w:color w:val="FFFFFF"/>
                <w:sz w:val="16"/>
              </w:rPr>
              <w:t>Mar</w:t>
            </w:r>
          </w:p>
        </w:tc>
        <w:tc>
          <w:tcPr>
            <w:tcW w:type="dxa" w:w="486"/>
            <w:gridSpan w:val="2"/>
            <w:vAlign w:val="center"/>
            <w:shd w:val="clear" w:color="auto" w:fill="2A4A5E"/>
          </w:tcPr>
          <w:p>
            <w:pPr>
              <w:spacing w:after="0" w:before="0"/>
              <w:jc w:val="center"/>
            </w:pPr>
            <w:r/>
            <w:r>
              <w:rPr>
                <w:b/>
                <w:i w:val="0"/>
                <w:color w:val="FFFFFF"/>
                <w:sz w:val="16"/>
              </w:rPr>
              <w:t>Apr</w:t>
            </w:r>
          </w:p>
        </w:tc>
        <w:tc>
          <w:tcPr>
            <w:tcW w:type="dxa" w:w="486"/>
            <w:gridSpan w:val="2"/>
            <w:vAlign w:val="center"/>
            <w:shd w:val="clear" w:color="auto" w:fill="0F2A3D"/>
          </w:tcPr>
          <w:p>
            <w:pPr>
              <w:spacing w:after="0" w:before="0"/>
              <w:jc w:val="center"/>
            </w:pPr>
            <w:r/>
            <w:r>
              <w:rPr>
                <w:b/>
                <w:i w:val="0"/>
                <w:color w:val="FFFFFF"/>
                <w:sz w:val="16"/>
              </w:rPr>
              <w:t>May</w:t>
            </w:r>
          </w:p>
        </w:tc>
      </w:tr>
      <w:tr>
        <w:tc>
          <w:tcPr>
            <w:tcW w:type="dxa" w:w="2835"/>
            <w:vAlign w:val="center"/>
            <w:shd w:val="clear" w:color="auto" w:fill="0F2A3D"/>
          </w:tcPr>
          <w:p>
            <w:pPr>
              <w:spacing w:after="0" w:before="0"/>
            </w:pPr>
            <w:r/>
            <w:r>
              <w:rPr>
                <w:b w:val="0"/>
                <w:i w:val="0"/>
                <w:sz w:val="16"/>
              </w:rPr>
            </w:r>
          </w:p>
        </w:tc>
        <w:tc>
          <w:tcPr>
            <w:tcW w:type="dxa" w:w="486"/>
            <w:vAlign w:val="center"/>
            <w:shd w:val="clear" w:color="auto" w:fill="0F2A3D"/>
          </w:tcPr>
          <w:p>
            <w:pPr>
              <w:spacing w:after="0" w:before="0"/>
              <w:jc w:val="center"/>
            </w:pPr>
            <w:r/>
            <w:r>
              <w:rPr>
                <w:b w:val="0"/>
                <w:i w:val="0"/>
                <w:color w:val="FFFFFF"/>
                <w:sz w:val="14"/>
              </w:rPr>
              <w:t>1</w:t>
            </w:r>
          </w:p>
        </w:tc>
        <w:tc>
          <w:tcPr>
            <w:tcW w:type="dxa" w:w="486"/>
            <w:vAlign w:val="center"/>
            <w:shd w:val="clear" w:color="auto" w:fill="0F2A3D"/>
          </w:tcPr>
          <w:p>
            <w:pPr>
              <w:spacing w:after="0" w:before="0"/>
              <w:jc w:val="center"/>
            </w:pPr>
            <w:r/>
            <w:r>
              <w:rPr>
                <w:b w:val="0"/>
                <w:i w:val="0"/>
                <w:color w:val="FFFFFF"/>
                <w:sz w:val="14"/>
              </w:rPr>
              <w:t>2</w:t>
            </w:r>
          </w:p>
        </w:tc>
        <w:tc>
          <w:tcPr>
            <w:tcW w:type="dxa" w:w="486"/>
            <w:vAlign w:val="center"/>
            <w:shd w:val="clear" w:color="auto" w:fill="2A4A5E"/>
          </w:tcPr>
          <w:p>
            <w:pPr>
              <w:spacing w:after="0" w:before="0"/>
              <w:jc w:val="center"/>
            </w:pPr>
            <w:r/>
            <w:r>
              <w:rPr>
                <w:b w:val="0"/>
                <w:i w:val="0"/>
                <w:color w:val="FFFFFF"/>
                <w:sz w:val="14"/>
              </w:rPr>
              <w:t>1</w:t>
            </w:r>
          </w:p>
        </w:tc>
        <w:tc>
          <w:tcPr>
            <w:tcW w:type="dxa" w:w="486"/>
            <w:vAlign w:val="center"/>
            <w:shd w:val="clear" w:color="auto" w:fill="2A4A5E"/>
          </w:tcPr>
          <w:p>
            <w:pPr>
              <w:spacing w:after="0" w:before="0"/>
              <w:jc w:val="center"/>
            </w:pPr>
            <w:r/>
            <w:r>
              <w:rPr>
                <w:b w:val="0"/>
                <w:i w:val="0"/>
                <w:color w:val="FFFFFF"/>
                <w:sz w:val="14"/>
              </w:rPr>
              <w:t>2</w:t>
            </w:r>
          </w:p>
        </w:tc>
        <w:tc>
          <w:tcPr>
            <w:tcW w:type="dxa" w:w="486"/>
            <w:vAlign w:val="center"/>
            <w:shd w:val="clear" w:color="auto" w:fill="0F2A3D"/>
          </w:tcPr>
          <w:p>
            <w:pPr>
              <w:spacing w:after="0" w:before="0"/>
              <w:jc w:val="center"/>
            </w:pPr>
            <w:r/>
            <w:r>
              <w:rPr>
                <w:b w:val="0"/>
                <w:i w:val="0"/>
                <w:color w:val="FFFFFF"/>
                <w:sz w:val="14"/>
              </w:rPr>
              <w:t>1</w:t>
            </w:r>
          </w:p>
        </w:tc>
        <w:tc>
          <w:tcPr>
            <w:tcW w:type="dxa" w:w="486"/>
            <w:vAlign w:val="center"/>
            <w:shd w:val="clear" w:color="auto" w:fill="0F2A3D"/>
          </w:tcPr>
          <w:p>
            <w:pPr>
              <w:spacing w:after="0" w:before="0"/>
              <w:jc w:val="center"/>
            </w:pPr>
            <w:r/>
            <w:r>
              <w:rPr>
                <w:b w:val="0"/>
                <w:i w:val="0"/>
                <w:color w:val="FFFFFF"/>
                <w:sz w:val="14"/>
              </w:rPr>
              <w:t>2</w:t>
            </w:r>
          </w:p>
        </w:tc>
        <w:tc>
          <w:tcPr>
            <w:tcW w:type="dxa" w:w="486"/>
            <w:vAlign w:val="center"/>
            <w:shd w:val="clear" w:color="auto" w:fill="2A4A5E"/>
          </w:tcPr>
          <w:p>
            <w:pPr>
              <w:spacing w:after="0" w:before="0"/>
              <w:jc w:val="center"/>
            </w:pPr>
            <w:r/>
            <w:r>
              <w:rPr>
                <w:b w:val="0"/>
                <w:i w:val="0"/>
                <w:color w:val="FFFFFF"/>
                <w:sz w:val="14"/>
              </w:rPr>
              <w:t>1</w:t>
            </w:r>
          </w:p>
        </w:tc>
        <w:tc>
          <w:tcPr>
            <w:tcW w:type="dxa" w:w="486"/>
            <w:vAlign w:val="center"/>
            <w:shd w:val="clear" w:color="auto" w:fill="2A4A5E"/>
          </w:tcPr>
          <w:p>
            <w:pPr>
              <w:spacing w:after="0" w:before="0"/>
              <w:jc w:val="center"/>
            </w:pPr>
            <w:r/>
            <w:r>
              <w:rPr>
                <w:b w:val="0"/>
                <w:i w:val="0"/>
                <w:color w:val="FFFFFF"/>
                <w:sz w:val="14"/>
              </w:rPr>
              <w:t>2</w:t>
            </w:r>
          </w:p>
        </w:tc>
        <w:tc>
          <w:tcPr>
            <w:tcW w:type="dxa" w:w="486"/>
            <w:vAlign w:val="center"/>
            <w:shd w:val="clear" w:color="auto" w:fill="0F2A3D"/>
          </w:tcPr>
          <w:p>
            <w:pPr>
              <w:spacing w:after="0" w:before="0"/>
              <w:jc w:val="center"/>
            </w:pPr>
            <w:r/>
            <w:r>
              <w:rPr>
                <w:b w:val="0"/>
                <w:i w:val="0"/>
                <w:color w:val="FFFFFF"/>
                <w:sz w:val="14"/>
              </w:rPr>
              <w:t>1</w:t>
            </w:r>
          </w:p>
        </w:tc>
        <w:tc>
          <w:tcPr>
            <w:tcW w:type="dxa" w:w="486"/>
            <w:vAlign w:val="center"/>
            <w:shd w:val="clear" w:color="auto" w:fill="0F2A3D"/>
          </w:tcPr>
          <w:p>
            <w:pPr>
              <w:spacing w:after="0" w:before="0"/>
              <w:jc w:val="center"/>
            </w:pPr>
            <w:r/>
            <w:r>
              <w:rPr>
                <w:b w:val="0"/>
                <w:i w:val="0"/>
                <w:color w:val="FFFFFF"/>
                <w:sz w:val="14"/>
              </w:rPr>
              <w:t>2</w:t>
            </w:r>
          </w:p>
        </w:tc>
        <w:tc>
          <w:tcPr>
            <w:tcW w:type="dxa" w:w="486"/>
            <w:vAlign w:val="center"/>
            <w:shd w:val="clear" w:color="auto" w:fill="2A4A5E"/>
          </w:tcPr>
          <w:p>
            <w:pPr>
              <w:spacing w:after="0" w:before="0"/>
              <w:jc w:val="center"/>
            </w:pPr>
            <w:r/>
            <w:r>
              <w:rPr>
                <w:b w:val="0"/>
                <w:i w:val="0"/>
                <w:color w:val="FFFFFF"/>
                <w:sz w:val="14"/>
              </w:rPr>
              <w:t>1</w:t>
            </w:r>
          </w:p>
        </w:tc>
        <w:tc>
          <w:tcPr>
            <w:tcW w:type="dxa" w:w="486"/>
            <w:vAlign w:val="center"/>
            <w:shd w:val="clear" w:color="auto" w:fill="2A4A5E"/>
          </w:tcPr>
          <w:p>
            <w:pPr>
              <w:spacing w:after="0" w:before="0"/>
              <w:jc w:val="center"/>
            </w:pPr>
            <w:r/>
            <w:r>
              <w:rPr>
                <w:b w:val="0"/>
                <w:i w:val="0"/>
                <w:color w:val="FFFFFF"/>
                <w:sz w:val="14"/>
              </w:rPr>
              <w:t>2</w:t>
            </w:r>
          </w:p>
        </w:tc>
        <w:tc>
          <w:tcPr>
            <w:tcW w:type="dxa" w:w="486"/>
            <w:vAlign w:val="center"/>
            <w:shd w:val="clear" w:color="auto" w:fill="0F2A3D"/>
          </w:tcPr>
          <w:p>
            <w:pPr>
              <w:spacing w:after="0" w:before="0"/>
              <w:jc w:val="center"/>
            </w:pPr>
            <w:r/>
            <w:r>
              <w:rPr>
                <w:b w:val="0"/>
                <w:i w:val="0"/>
                <w:color w:val="FFFFFF"/>
                <w:sz w:val="14"/>
              </w:rPr>
              <w:t>1</w:t>
            </w:r>
          </w:p>
        </w:tc>
        <w:tc>
          <w:tcPr>
            <w:tcW w:type="dxa" w:w="486"/>
            <w:vAlign w:val="center"/>
            <w:shd w:val="clear" w:color="auto" w:fill="0F2A3D"/>
          </w:tcPr>
          <w:p>
            <w:pPr>
              <w:spacing w:after="0" w:before="0"/>
              <w:jc w:val="center"/>
            </w:pPr>
            <w:r/>
            <w:r>
              <w:rPr>
                <w:b w:val="0"/>
                <w:i w:val="0"/>
                <w:color w:val="FFFFFF"/>
                <w:sz w:val="14"/>
              </w:rPr>
              <w:t>2</w:t>
            </w:r>
          </w:p>
        </w:tc>
      </w:tr>
      <w:tr>
        <w:tc>
          <w:tcPr>
            <w:tcW w:type="dxa" w:w="2835"/>
            <w:vAlign w:val="center"/>
          </w:tcPr>
          <w:p>
            <w:pPr>
              <w:spacing w:after="0" w:before="0"/>
            </w:pPr>
            <w:r/>
            <w:r>
              <w:rPr>
                <w:b w:val="0"/>
                <w:i w:val="0"/>
                <w:sz w:val="16"/>
              </w:rPr>
              <w:t>WP1  Corrected release and erratum (RO1)</w:t>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r>
      <w:tr>
        <w:tc>
          <w:tcPr>
            <w:tcW w:type="dxa" w:w="2835"/>
            <w:vAlign w:val="center"/>
          </w:tcPr>
          <w:p>
            <w:pPr>
              <w:spacing w:after="0" w:before="0"/>
            </w:pPr>
            <w:r/>
            <w:r>
              <w:rPr>
                <w:b w:val="0"/>
                <w:i w:val="0"/>
                <w:sz w:val="16"/>
              </w:rPr>
              <w:t>WP2  OSF study plan and registration (RO5)</w:t>
            </w:r>
          </w:p>
        </w:tc>
        <w:tc>
          <w:tcPr>
            <w:tcW w:type="dxa" w:w="486"/>
            <w:vAlign w:val="center"/>
            <w:shd w:val="clear" w:color="auto" w:fill="F4A261"/>
          </w:tcPr>
          <w:p>
            <w:pPr>
              <w:spacing w:after="0" w:before="0"/>
            </w:pPr>
            <w:r/>
            <w:r>
              <w:rPr>
                <w:b w:val="0"/>
                <w:i w:val="0"/>
                <w:sz w:val="14"/>
              </w:rPr>
            </w:r>
          </w:p>
        </w:tc>
        <w:tc>
          <w:tcPr>
            <w:tcW w:type="dxa" w:w="486"/>
            <w:vAlign w:val="center"/>
            <w:shd w:val="clear" w:color="auto" w:fill="F4A261"/>
          </w:tcPr>
          <w:p>
            <w:pPr>
              <w:spacing w:after="0" w:before="0"/>
            </w:pPr>
            <w:r/>
            <w:r>
              <w:rPr>
                <w:b w:val="0"/>
                <w:i w:val="0"/>
                <w:sz w:val="14"/>
              </w:rPr>
            </w:r>
          </w:p>
        </w:tc>
        <w:tc>
          <w:tcPr>
            <w:tcW w:type="dxa" w:w="486"/>
            <w:vAlign w:val="center"/>
            <w:shd w:val="clear" w:color="auto" w:fill="F4A261"/>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r>
      <w:tr>
        <w:tc>
          <w:tcPr>
            <w:tcW w:type="dxa" w:w="2835"/>
            <w:vAlign w:val="center"/>
          </w:tcPr>
          <w:p>
            <w:pPr>
              <w:spacing w:after="0" w:before="0"/>
            </w:pPr>
            <w:r/>
            <w:r>
              <w:rPr>
                <w:b w:val="0"/>
                <w:i w:val="0"/>
                <w:sz w:val="16"/>
              </w:rPr>
              <w:t>WP3  Capacity controls, small data sets (RO2)</w:t>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r>
      <w:tr>
        <w:tc>
          <w:tcPr>
            <w:tcW w:type="dxa" w:w="2835"/>
            <w:vAlign w:val="center"/>
          </w:tcPr>
          <w:p>
            <w:pPr>
              <w:spacing w:after="0" w:before="0"/>
            </w:pPr>
            <w:r/>
            <w:r>
              <w:rPr>
                <w:b w:val="0"/>
                <w:i w:val="0"/>
                <w:sz w:val="16"/>
              </w:rPr>
              <w:t>WP4  ImageNet-100 scale runs (RO3)</w:t>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r>
      <w:tr>
        <w:tc>
          <w:tcPr>
            <w:tcW w:type="dxa" w:w="2835"/>
            <w:vAlign w:val="center"/>
          </w:tcPr>
          <w:p>
            <w:pPr>
              <w:spacing w:after="0" w:before="0"/>
            </w:pPr>
            <w:r/>
            <w:r>
              <w:rPr>
                <w:b w:val="0"/>
                <w:i w:val="0"/>
                <w:sz w:val="16"/>
              </w:rPr>
              <w:t>WP5  Quantitative region evaluation (RO4)</w:t>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shd w:val="clear" w:color="auto" w:fill="1B7F8C"/>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r>
      <w:tr>
        <w:tc>
          <w:tcPr>
            <w:tcW w:type="dxa" w:w="2835"/>
            <w:vAlign w:val="center"/>
          </w:tcPr>
          <w:p>
            <w:pPr>
              <w:spacing w:after="0" w:before="0"/>
            </w:pPr>
            <w:r/>
            <w:r>
              <w:rPr>
                <w:b w:val="0"/>
                <w:i w:val="0"/>
                <w:sz w:val="16"/>
              </w:rPr>
              <w:t>WP6  Analysis, writing, submissions (RO5)</w:t>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shd w:val="clear" w:color="auto" w:fill="F4A261"/>
          </w:tcPr>
          <w:p>
            <w:pPr>
              <w:spacing w:after="0" w:before="0"/>
            </w:pPr>
            <w:r/>
            <w:r>
              <w:rPr>
                <w:b w:val="0"/>
                <w:i w:val="0"/>
                <w:sz w:val="14"/>
              </w:rPr>
            </w:r>
          </w:p>
        </w:tc>
        <w:tc>
          <w:tcPr>
            <w:tcW w:type="dxa" w:w="486"/>
            <w:vAlign w:val="center"/>
            <w:shd w:val="clear" w:color="auto" w:fill="F4A261"/>
          </w:tcPr>
          <w:p>
            <w:pPr>
              <w:spacing w:after="0" w:before="0"/>
            </w:pPr>
            <w:r/>
            <w:r>
              <w:rPr>
                <w:b w:val="0"/>
                <w:i w:val="0"/>
                <w:sz w:val="14"/>
              </w:rPr>
            </w:r>
          </w:p>
        </w:tc>
        <w:tc>
          <w:tcPr>
            <w:tcW w:type="dxa" w:w="486"/>
            <w:vAlign w:val="center"/>
            <w:shd w:val="clear" w:color="auto" w:fill="F4A261"/>
          </w:tcPr>
          <w:p>
            <w:pPr>
              <w:spacing w:after="0" w:before="0"/>
            </w:pPr>
            <w:r/>
            <w:r>
              <w:rPr>
                <w:b w:val="0"/>
                <w:i w:val="0"/>
                <w:sz w:val="14"/>
              </w:rPr>
            </w:r>
          </w:p>
        </w:tc>
        <w:tc>
          <w:tcPr>
            <w:tcW w:type="dxa" w:w="486"/>
            <w:vAlign w:val="center"/>
            <w:shd w:val="clear" w:color="auto" w:fill="F4A261"/>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r>
      <w:tr>
        <w:tc>
          <w:tcPr>
            <w:tcW w:type="dxa" w:w="2835"/>
            <w:vAlign w:val="center"/>
          </w:tcPr>
          <w:p>
            <w:pPr>
              <w:spacing w:after="0" w:before="0"/>
            </w:pPr>
            <w:r/>
            <w:r>
              <w:rPr>
                <w:b w:val="0"/>
                <w:i w:val="0"/>
                <w:sz w:val="16"/>
              </w:rPr>
              <w:t>WP7  Final report and viva preparation (All)</w:t>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tcPr>
          <w:p>
            <w:pPr>
              <w:spacing w:after="0" w:before="0"/>
            </w:pPr>
            <w:r/>
            <w:r>
              <w:rPr>
                <w:b w:val="0"/>
                <w:i w:val="0"/>
                <w:sz w:val="14"/>
              </w:rPr>
            </w:r>
          </w:p>
        </w:tc>
        <w:tc>
          <w:tcPr>
            <w:tcW w:type="dxa" w:w="486"/>
            <w:vAlign w:val="center"/>
            <w:shd w:val="clear" w:color="auto" w:fill="5B6B77"/>
          </w:tcPr>
          <w:p>
            <w:pPr>
              <w:spacing w:after="0" w:before="0"/>
            </w:pPr>
            <w:r/>
            <w:r>
              <w:rPr>
                <w:b w:val="0"/>
                <w:i w:val="0"/>
                <w:sz w:val="14"/>
              </w:rPr>
            </w:r>
          </w:p>
        </w:tc>
        <w:tc>
          <w:tcPr>
            <w:tcW w:type="dxa" w:w="486"/>
            <w:vAlign w:val="center"/>
            <w:shd w:val="clear" w:color="auto" w:fill="5B6B77"/>
          </w:tcPr>
          <w:p>
            <w:pPr>
              <w:spacing w:after="0" w:before="0"/>
            </w:pPr>
            <w:r/>
            <w:r>
              <w:rPr>
                <w:b w:val="0"/>
                <w:i w:val="0"/>
                <w:sz w:val="14"/>
              </w:rPr>
            </w:r>
          </w:p>
        </w:tc>
        <w:tc>
          <w:tcPr>
            <w:tcW w:type="dxa" w:w="486"/>
            <w:vAlign w:val="center"/>
          </w:tcPr>
          <w:p>
            <w:pPr>
              <w:spacing w:after="0" w:before="0"/>
            </w:pPr>
            <w:r/>
            <w:r>
              <w:rPr>
                <w:b w:val="0"/>
                <w:i w:val="0"/>
                <w:sz w:val="14"/>
              </w:rPr>
            </w:r>
          </w:p>
        </w:tc>
      </w:tr>
      <w:tr>
        <w:tc>
          <w:tcPr>
            <w:tcW w:type="dxa" w:w="2835"/>
            <w:vAlign w:val="center"/>
            <w:shd w:val="clear" w:color="auto" w:fill="EAF1F4"/>
          </w:tcPr>
          <w:p>
            <w:pPr>
              <w:spacing w:after="0" w:before="0"/>
            </w:pPr>
            <w:r/>
            <w:r>
              <w:rPr>
                <w:b/>
                <w:i w:val="0"/>
                <w:color w:val="0F2A3D"/>
                <w:sz w:val="16"/>
              </w:rPr>
              <w:t>Reviews and milestones</w:t>
            </w:r>
          </w:p>
        </w:tc>
        <w:tc>
          <w:tcPr>
            <w:tcW w:type="dxa" w:w="486"/>
            <w:vAlign w:val="center"/>
            <w:shd w:val="clear" w:color="auto" w:fill="FBE3CC"/>
          </w:tcPr>
          <w:p>
            <w:pPr>
              <w:spacing w:after="0" w:before="0"/>
              <w:jc w:val="center"/>
            </w:pPr>
            <w:r/>
            <w:r>
              <w:rPr>
                <w:b/>
                <w:i w:val="0"/>
                <w:color w:val="0F2A3D"/>
                <w:sz w:val="13"/>
              </w:rPr>
              <w:t>R0</w:t>
            </w:r>
          </w:p>
        </w:tc>
        <w:tc>
          <w:tcPr>
            <w:tcW w:type="dxa" w:w="486"/>
            <w:vAlign w:val="center"/>
            <w:shd w:val="clear" w:color="auto" w:fill="EAF1F4"/>
          </w:tcPr>
          <w:p>
            <w:pPr>
              <w:spacing w:after="0" w:before="0"/>
              <w:jc w:val="center"/>
            </w:pPr>
            <w:r/>
            <w:r>
              <w:rPr>
                <w:b/>
                <w:i w:val="0"/>
                <w:color w:val="0F2A3D"/>
                <w:sz w:val="13"/>
              </w:rPr>
            </w:r>
          </w:p>
        </w:tc>
        <w:tc>
          <w:tcPr>
            <w:tcW w:type="dxa" w:w="486"/>
            <w:vAlign w:val="center"/>
            <w:shd w:val="clear" w:color="auto" w:fill="EAF1F4"/>
          </w:tcPr>
          <w:p>
            <w:pPr>
              <w:spacing w:after="0" w:before="0"/>
              <w:jc w:val="center"/>
            </w:pPr>
            <w:r/>
            <w:r>
              <w:rPr>
                <w:b/>
                <w:i w:val="0"/>
                <w:color w:val="0F2A3D"/>
                <w:sz w:val="13"/>
              </w:rPr>
            </w:r>
          </w:p>
        </w:tc>
        <w:tc>
          <w:tcPr>
            <w:tcW w:type="dxa" w:w="486"/>
            <w:vAlign w:val="center"/>
            <w:shd w:val="clear" w:color="auto" w:fill="EAF1F4"/>
          </w:tcPr>
          <w:p>
            <w:pPr>
              <w:spacing w:after="0" w:before="0"/>
              <w:jc w:val="center"/>
            </w:pPr>
            <w:r/>
            <w:r>
              <w:rPr>
                <w:b/>
                <w:i w:val="0"/>
                <w:color w:val="0F2A3D"/>
                <w:sz w:val="13"/>
              </w:rPr>
            </w:r>
          </w:p>
        </w:tc>
        <w:tc>
          <w:tcPr>
            <w:tcW w:type="dxa" w:w="486"/>
            <w:vAlign w:val="center"/>
            <w:shd w:val="clear" w:color="auto" w:fill="FBE3CC"/>
          </w:tcPr>
          <w:p>
            <w:pPr>
              <w:spacing w:after="0" w:before="0"/>
              <w:jc w:val="center"/>
            </w:pPr>
            <w:r/>
            <w:r>
              <w:rPr>
                <w:b/>
                <w:i w:val="0"/>
                <w:color w:val="0F2A3D"/>
                <w:sz w:val="13"/>
              </w:rPr>
              <w:t>Chg</w:t>
            </w:r>
          </w:p>
        </w:tc>
        <w:tc>
          <w:tcPr>
            <w:tcW w:type="dxa" w:w="486"/>
            <w:vAlign w:val="center"/>
            <w:shd w:val="clear" w:color="auto" w:fill="FBE3CC"/>
          </w:tcPr>
          <w:p>
            <w:pPr>
              <w:spacing w:after="0" w:before="0"/>
              <w:jc w:val="center"/>
            </w:pPr>
            <w:r/>
            <w:r>
              <w:rPr>
                <w:b/>
                <w:i w:val="0"/>
                <w:color w:val="0F2A3D"/>
                <w:sz w:val="13"/>
              </w:rPr>
              <w:t>R-I</w:t>
            </w:r>
          </w:p>
        </w:tc>
        <w:tc>
          <w:tcPr>
            <w:tcW w:type="dxa" w:w="486"/>
            <w:vAlign w:val="center"/>
            <w:shd w:val="clear" w:color="auto" w:fill="EAF1F4"/>
          </w:tcPr>
          <w:p>
            <w:pPr>
              <w:spacing w:after="0" w:before="0"/>
              <w:jc w:val="center"/>
            </w:pPr>
            <w:r/>
            <w:r>
              <w:rPr>
                <w:b/>
                <w:i w:val="0"/>
                <w:color w:val="0F2A3D"/>
                <w:sz w:val="13"/>
              </w:rPr>
            </w:r>
          </w:p>
        </w:tc>
        <w:tc>
          <w:tcPr>
            <w:tcW w:type="dxa" w:w="486"/>
            <w:vAlign w:val="center"/>
            <w:shd w:val="clear" w:color="auto" w:fill="EAF1F4"/>
          </w:tcPr>
          <w:p>
            <w:pPr>
              <w:spacing w:after="0" w:before="0"/>
              <w:jc w:val="center"/>
            </w:pPr>
            <w:r/>
            <w:r>
              <w:rPr>
                <w:b/>
                <w:i w:val="0"/>
                <w:color w:val="0F2A3D"/>
                <w:sz w:val="13"/>
              </w:rPr>
            </w:r>
          </w:p>
        </w:tc>
        <w:tc>
          <w:tcPr>
            <w:tcW w:type="dxa" w:w="486"/>
            <w:vAlign w:val="center"/>
            <w:shd w:val="clear" w:color="auto" w:fill="FBE3CC"/>
          </w:tcPr>
          <w:p>
            <w:pPr>
              <w:spacing w:after="0" w:before="0"/>
              <w:jc w:val="center"/>
            </w:pPr>
            <w:r/>
            <w:r>
              <w:rPr>
                <w:b/>
                <w:i w:val="0"/>
                <w:color w:val="0F2A3D"/>
                <w:sz w:val="13"/>
              </w:rPr>
              <w:t>R-II</w:t>
            </w:r>
          </w:p>
        </w:tc>
        <w:tc>
          <w:tcPr>
            <w:tcW w:type="dxa" w:w="486"/>
            <w:vAlign w:val="center"/>
            <w:shd w:val="clear" w:color="auto" w:fill="EAF1F4"/>
          </w:tcPr>
          <w:p>
            <w:pPr>
              <w:spacing w:after="0" w:before="0"/>
              <w:jc w:val="center"/>
            </w:pPr>
            <w:r/>
            <w:r>
              <w:rPr>
                <w:b/>
                <w:i w:val="0"/>
                <w:color w:val="0F2A3D"/>
                <w:sz w:val="13"/>
              </w:rPr>
            </w:r>
          </w:p>
        </w:tc>
        <w:tc>
          <w:tcPr>
            <w:tcW w:type="dxa" w:w="486"/>
            <w:vAlign w:val="center"/>
            <w:shd w:val="clear" w:color="auto" w:fill="EAF1F4"/>
          </w:tcPr>
          <w:p>
            <w:pPr>
              <w:spacing w:after="0" w:before="0"/>
              <w:jc w:val="center"/>
            </w:pPr>
            <w:r/>
            <w:r>
              <w:rPr>
                <w:b/>
                <w:i w:val="0"/>
                <w:color w:val="0F2A3D"/>
                <w:sz w:val="13"/>
              </w:rPr>
            </w:r>
          </w:p>
        </w:tc>
        <w:tc>
          <w:tcPr>
            <w:tcW w:type="dxa" w:w="486"/>
            <w:vAlign w:val="center"/>
            <w:shd w:val="clear" w:color="auto" w:fill="FBE3CC"/>
          </w:tcPr>
          <w:p>
            <w:pPr>
              <w:spacing w:after="0" w:before="0"/>
              <w:jc w:val="center"/>
            </w:pPr>
            <w:r/>
            <w:r>
              <w:rPr>
                <w:b/>
                <w:i w:val="0"/>
                <w:color w:val="0F2A3D"/>
                <w:sz w:val="13"/>
              </w:rPr>
              <w:t>R-III Rpt</w:t>
            </w:r>
          </w:p>
        </w:tc>
        <w:tc>
          <w:tcPr>
            <w:tcW w:type="dxa" w:w="486"/>
            <w:vAlign w:val="center"/>
            <w:shd w:val="clear" w:color="auto" w:fill="FBE3CC"/>
          </w:tcPr>
          <w:p>
            <w:pPr>
              <w:spacing w:after="0" w:before="0"/>
              <w:jc w:val="center"/>
            </w:pPr>
            <w:r/>
            <w:r>
              <w:rPr>
                <w:b/>
                <w:i w:val="0"/>
                <w:color w:val="0F2A3D"/>
                <w:sz w:val="13"/>
              </w:rPr>
              <w:t>Rpt Viva</w:t>
            </w:r>
          </w:p>
        </w:tc>
        <w:tc>
          <w:tcPr>
            <w:tcW w:type="dxa" w:w="486"/>
            <w:vAlign w:val="center"/>
            <w:shd w:val="clear" w:color="auto" w:fill="EAF1F4"/>
          </w:tcPr>
          <w:p>
            <w:pPr>
              <w:spacing w:after="0" w:before="0"/>
              <w:jc w:val="center"/>
            </w:pPr>
            <w:r/>
            <w:r>
              <w:rPr>
                <w:b/>
                <w:i w:val="0"/>
                <w:color w:val="0F2A3D"/>
                <w:sz w:val="13"/>
              </w:rPr>
            </w:r>
          </w:p>
        </w:tc>
      </w:tr>
    </w:tbl>
    <w:p>
      <w:pPr>
        <w:spacing w:after="160"/>
      </w:pPr>
      <w:r>
        <w:rPr>
          <w:b w:val="0"/>
          <w:i/>
          <w:color w:val="5B6B77"/>
          <w:sz w:val="18"/>
        </w:rPr>
        <w:t>Figure 2. Gantt chart, November 2026 to May 2027; columns are half-months. Teal: scientific work; amber: protocol, registration and writing; slate: final report. R0 to R-III: project reviews; Chg: title and course change window (6 to 13 Jan); Rpt: report submission (28 Apr to 6 May); Viva: 7 to 15 May 2027.</w:t>
      </w:r>
    </w:p>
    <w:tbl>
      <w:tblPr>
        <w:tblW w:type="auto" w:w="0"/>
        <w:jc w:val="center"/>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50" w:type="dxa"/>
          <w:left w:w="80" w:type="dxa"/>
          <w:bottom w:w="50" w:type="dxa"/>
          <w:right w:w="80" w:type="dxa"/>
        </w:tblCellMar>
        <w:tblLayout w:type="fixed"/>
      </w:tblPr>
      <w:tblGrid>
        <w:gridCol w:w="1927"/>
        <w:gridCol w:w="2267"/>
        <w:gridCol w:w="5442"/>
      </w:tblGrid>
      <w:tr>
        <w:trPr>
          <w:tblHeader w:val="true"/>
        </w:trPr>
        <w:tc>
          <w:tcPr>
            <w:tcW w:type="dxa" w:w="1928"/>
            <w:vAlign w:val="center"/>
            <w:shd w:val="clear" w:color="auto" w:fill="0F2A3D"/>
          </w:tcPr>
          <w:p>
            <w:pPr>
              <w:spacing w:after="0" w:before="0"/>
            </w:pPr>
            <w:r/>
            <w:r>
              <w:rPr>
                <w:b/>
                <w:i w:val="0"/>
                <w:color w:val="FFFFFF"/>
                <w:sz w:val="18"/>
              </w:rPr>
              <w:t>Review / milestone</w:t>
            </w:r>
          </w:p>
        </w:tc>
        <w:tc>
          <w:tcPr>
            <w:tcW w:type="dxa" w:w="2268"/>
            <w:vAlign w:val="center"/>
            <w:shd w:val="clear" w:color="auto" w:fill="0F2A3D"/>
          </w:tcPr>
          <w:p>
            <w:pPr>
              <w:spacing w:after="0" w:before="0"/>
            </w:pPr>
            <w:r/>
            <w:r>
              <w:rPr>
                <w:b/>
                <w:i w:val="0"/>
                <w:color w:val="FFFFFF"/>
                <w:sz w:val="18"/>
              </w:rPr>
              <w:t>Dates (SRM schedule)</w:t>
            </w:r>
          </w:p>
        </w:tc>
        <w:tc>
          <w:tcPr>
            <w:tcW w:type="dxa" w:w="5443"/>
            <w:vAlign w:val="center"/>
            <w:shd w:val="clear" w:color="auto" w:fill="0F2A3D"/>
          </w:tcPr>
          <w:p>
            <w:pPr>
              <w:spacing w:after="0" w:before="0"/>
            </w:pPr>
            <w:r/>
            <w:r>
              <w:rPr>
                <w:b/>
                <w:i w:val="0"/>
                <w:color w:val="FFFFFF"/>
                <w:sz w:val="18"/>
              </w:rPr>
              <w:t>Expected state of the project</w:t>
            </w:r>
          </w:p>
        </w:tc>
      </w:tr>
      <w:tr>
        <w:trPr>
          <w:cantSplit w:val="true"/>
        </w:trPr>
        <w:tc>
          <w:tcPr>
            <w:tcW w:type="dxa" w:w="1928"/>
            <w:vAlign w:val="top"/>
            <w:shd w:val="clear" w:color="auto" w:fill="EAF1F4"/>
          </w:tcPr>
          <w:p>
            <w:pPr>
              <w:spacing w:after="0" w:before="0"/>
            </w:pPr>
            <w:r/>
            <w:r>
              <w:rPr>
                <w:b/>
                <w:i w:val="0"/>
                <w:sz w:val="18"/>
              </w:rPr>
              <w:t>Review 0</w:t>
            </w:r>
          </w:p>
        </w:tc>
        <w:tc>
          <w:tcPr>
            <w:tcW w:type="dxa" w:w="2268"/>
            <w:vAlign w:val="top"/>
            <w:shd w:val="clear" w:color="auto" w:fill="EAF1F4"/>
          </w:tcPr>
          <w:p>
            <w:pPr>
              <w:spacing w:after="0" w:before="0"/>
            </w:pPr>
            <w:r/>
            <w:r>
              <w:rPr>
                <w:b w:val="0"/>
                <w:i w:val="0"/>
                <w:sz w:val="18"/>
              </w:rPr>
              <w:t>6 to 10 Nov 2026</w:t>
            </w:r>
          </w:p>
        </w:tc>
        <w:tc>
          <w:tcPr>
            <w:tcW w:type="dxa" w:w="5443"/>
            <w:vAlign w:val="top"/>
            <w:shd w:val="clear" w:color="auto" w:fill="EAF1F4"/>
          </w:tcPr>
          <w:p>
            <w:pPr>
              <w:spacing w:after="0" w:before="0"/>
            </w:pPr>
            <w:r/>
            <w:r>
              <w:rPr>
                <w:b w:val="0"/>
                <w:i w:val="0"/>
                <w:sz w:val="18"/>
              </w:rPr>
              <w:t>Abstract, introduction, literature survey, gaps, objectives, SDG, plan</w:t>
            </w:r>
          </w:p>
        </w:tc>
      </w:tr>
      <w:tr>
        <w:trPr>
          <w:cantSplit w:val="true"/>
        </w:trPr>
        <w:tc>
          <w:tcPr>
            <w:tcW w:type="dxa" w:w="1928"/>
            <w:vAlign w:val="top"/>
          </w:tcPr>
          <w:p>
            <w:pPr>
              <w:spacing w:after="0" w:before="0"/>
            </w:pPr>
            <w:r/>
            <w:r>
              <w:rPr>
                <w:b/>
                <w:i w:val="0"/>
                <w:sz w:val="18"/>
              </w:rPr>
              <w:t>Changes window</w:t>
            </w:r>
          </w:p>
        </w:tc>
        <w:tc>
          <w:tcPr>
            <w:tcW w:type="dxa" w:w="2268"/>
            <w:vAlign w:val="top"/>
          </w:tcPr>
          <w:p>
            <w:pPr>
              <w:spacing w:after="0" w:before="0"/>
            </w:pPr>
            <w:r/>
            <w:r>
              <w:rPr>
                <w:b w:val="0"/>
                <w:i w:val="0"/>
                <w:sz w:val="18"/>
              </w:rPr>
              <w:t>6 to 13 Jan 2027</w:t>
            </w:r>
          </w:p>
        </w:tc>
        <w:tc>
          <w:tcPr>
            <w:tcW w:type="dxa" w:w="5443"/>
            <w:vAlign w:val="top"/>
          </w:tcPr>
          <w:p>
            <w:pPr>
              <w:spacing w:after="0" w:before="0"/>
            </w:pPr>
            <w:r/>
            <w:r>
              <w:rPr>
                <w:b w:val="0"/>
                <w:i w:val="0"/>
                <w:sz w:val="18"/>
              </w:rPr>
              <w:t>Title or course changes, if any</w:t>
            </w:r>
          </w:p>
        </w:tc>
      </w:tr>
      <w:tr>
        <w:trPr>
          <w:cantSplit w:val="true"/>
        </w:trPr>
        <w:tc>
          <w:tcPr>
            <w:tcW w:type="dxa" w:w="1928"/>
            <w:vAlign w:val="top"/>
            <w:shd w:val="clear" w:color="auto" w:fill="EAF1F4"/>
          </w:tcPr>
          <w:p>
            <w:pPr>
              <w:spacing w:after="0" w:before="0"/>
            </w:pPr>
            <w:r/>
            <w:r>
              <w:rPr>
                <w:b/>
                <w:i w:val="0"/>
                <w:sz w:val="18"/>
              </w:rPr>
              <w:t>Review I</w:t>
            </w:r>
          </w:p>
        </w:tc>
        <w:tc>
          <w:tcPr>
            <w:tcW w:type="dxa" w:w="2268"/>
            <w:vAlign w:val="top"/>
            <w:shd w:val="clear" w:color="auto" w:fill="EAF1F4"/>
          </w:tcPr>
          <w:p>
            <w:pPr>
              <w:spacing w:after="0" w:before="0"/>
            </w:pPr>
            <w:r/>
            <w:r>
              <w:rPr>
                <w:b w:val="0"/>
                <w:i w:val="0"/>
                <w:sz w:val="18"/>
              </w:rPr>
              <w:t>23 to 30 Jan 2027</w:t>
            </w:r>
          </w:p>
        </w:tc>
        <w:tc>
          <w:tcPr>
            <w:tcW w:type="dxa" w:w="5443"/>
            <w:vAlign w:val="top"/>
            <w:shd w:val="clear" w:color="auto" w:fill="EAF1F4"/>
          </w:tcPr>
          <w:p>
            <w:pPr>
              <w:spacing w:after="0" w:before="0"/>
            </w:pPr>
            <w:r/>
            <w:r>
              <w:rPr>
                <w:b w:val="0"/>
                <w:i w:val="0"/>
                <w:sz w:val="18"/>
              </w:rPr>
              <w:t>WP1 and WP2 complete; arms R and X implemented; pilot LR sweep; OSF plan registered</w:t>
            </w:r>
          </w:p>
        </w:tc>
      </w:tr>
      <w:tr>
        <w:trPr>
          <w:cantSplit w:val="true"/>
        </w:trPr>
        <w:tc>
          <w:tcPr>
            <w:tcW w:type="dxa" w:w="1928"/>
            <w:vAlign w:val="top"/>
          </w:tcPr>
          <w:p>
            <w:pPr>
              <w:spacing w:after="0" w:before="0"/>
            </w:pPr>
            <w:r/>
            <w:r>
              <w:rPr>
                <w:b/>
                <w:i w:val="0"/>
                <w:sz w:val="18"/>
              </w:rPr>
              <w:t>Review II</w:t>
            </w:r>
          </w:p>
        </w:tc>
        <w:tc>
          <w:tcPr>
            <w:tcW w:type="dxa" w:w="2268"/>
            <w:vAlign w:val="top"/>
          </w:tcPr>
          <w:p>
            <w:pPr>
              <w:spacing w:after="0" w:before="0"/>
            </w:pPr>
            <w:r/>
            <w:r>
              <w:rPr>
                <w:b w:val="0"/>
                <w:i w:val="0"/>
                <w:sz w:val="18"/>
              </w:rPr>
              <w:t>2 to 9 Mar 2027</w:t>
            </w:r>
          </w:p>
        </w:tc>
        <w:tc>
          <w:tcPr>
            <w:tcW w:type="dxa" w:w="5443"/>
            <w:vAlign w:val="top"/>
          </w:tcPr>
          <w:p>
            <w:pPr>
              <w:spacing w:after="0" w:before="0"/>
            </w:pPr>
            <w:r/>
            <w:r>
              <w:rPr>
                <w:b w:val="0"/>
                <w:i w:val="0"/>
                <w:sz w:val="18"/>
              </w:rPr>
              <w:t>Capacity-control results; ImageNet-100 runs under way; region pipeline working</w:t>
            </w:r>
          </w:p>
        </w:tc>
      </w:tr>
      <w:tr>
        <w:trPr>
          <w:cantSplit w:val="true"/>
        </w:trPr>
        <w:tc>
          <w:tcPr>
            <w:tcW w:type="dxa" w:w="1928"/>
            <w:vAlign w:val="top"/>
            <w:shd w:val="clear" w:color="auto" w:fill="EAF1F4"/>
          </w:tcPr>
          <w:p>
            <w:pPr>
              <w:spacing w:after="0" w:before="0"/>
            </w:pPr>
            <w:r/>
            <w:r>
              <w:rPr>
                <w:b/>
                <w:i w:val="0"/>
                <w:sz w:val="18"/>
              </w:rPr>
              <w:t>Review III</w:t>
            </w:r>
          </w:p>
        </w:tc>
        <w:tc>
          <w:tcPr>
            <w:tcW w:type="dxa" w:w="2268"/>
            <w:vAlign w:val="top"/>
            <w:shd w:val="clear" w:color="auto" w:fill="EAF1F4"/>
          </w:tcPr>
          <w:p>
            <w:pPr>
              <w:spacing w:after="0" w:before="0"/>
            </w:pPr>
            <w:r/>
            <w:r>
              <w:rPr>
                <w:b w:val="0"/>
                <w:i w:val="0"/>
                <w:sz w:val="18"/>
              </w:rPr>
              <w:t>20 to 24 Apr 2027</w:t>
            </w:r>
          </w:p>
        </w:tc>
        <w:tc>
          <w:tcPr>
            <w:tcW w:type="dxa" w:w="5443"/>
            <w:vAlign w:val="top"/>
            <w:shd w:val="clear" w:color="auto" w:fill="EAF1F4"/>
          </w:tcPr>
          <w:p>
            <w:pPr>
              <w:spacing w:after="0" w:before="0"/>
            </w:pPr>
            <w:r/>
            <w:r>
              <w:rPr>
                <w:b w:val="0"/>
                <w:i w:val="0"/>
                <w:sz w:val="18"/>
              </w:rPr>
              <w:t>All experiments complete; Paper 2 drafted; Paper 1 submitted</w:t>
            </w:r>
          </w:p>
        </w:tc>
      </w:tr>
      <w:tr>
        <w:trPr>
          <w:cantSplit w:val="true"/>
        </w:trPr>
        <w:tc>
          <w:tcPr>
            <w:tcW w:type="dxa" w:w="1928"/>
            <w:vAlign w:val="top"/>
          </w:tcPr>
          <w:p>
            <w:pPr>
              <w:spacing w:after="0" w:before="0"/>
            </w:pPr>
            <w:r/>
            <w:r>
              <w:rPr>
                <w:b/>
                <w:i w:val="0"/>
                <w:sz w:val="18"/>
              </w:rPr>
              <w:t>Report and viva</w:t>
            </w:r>
          </w:p>
        </w:tc>
        <w:tc>
          <w:tcPr>
            <w:tcW w:type="dxa" w:w="2268"/>
            <w:vAlign w:val="top"/>
          </w:tcPr>
          <w:p>
            <w:pPr>
              <w:spacing w:after="0" w:before="0"/>
            </w:pPr>
            <w:r/>
            <w:r>
              <w:rPr>
                <w:b w:val="0"/>
                <w:i w:val="0"/>
                <w:sz w:val="18"/>
              </w:rPr>
              <w:t>28 Apr to 15 May 2027</w:t>
            </w:r>
          </w:p>
        </w:tc>
        <w:tc>
          <w:tcPr>
            <w:tcW w:type="dxa" w:w="5443"/>
            <w:vAlign w:val="top"/>
          </w:tcPr>
          <w:p>
            <w:pPr>
              <w:spacing w:after="0" w:before="0"/>
            </w:pPr>
            <w:r/>
            <w:r>
              <w:rPr>
                <w:b w:val="0"/>
                <w:i w:val="0"/>
                <w:sz w:val="18"/>
              </w:rPr>
              <w:t>Report submission 28 Apr to 6 May; viva 7 to 15 May</w:t>
            </w:r>
          </w:p>
        </w:tc>
      </w:tr>
    </w:tbl>
    <w:p>
      <w:pPr>
        <w:spacing w:after="160"/>
      </w:pPr>
      <w:r>
        <w:rPr>
          <w:b w:val="0"/>
          <w:i/>
          <w:color w:val="5B6B77"/>
          <w:sz w:val="18"/>
        </w:rPr>
        <w:t>Table 6. Review schedule and expected state at each review.</w:t>
      </w:r>
    </w:p>
    <w:p>
      <w:pPr>
        <w:pStyle w:val="Heading1"/>
      </w:pPr>
      <w:r>
        <w:t>9. Deliverables, publication plan and Technology Readiness Level</w:t>
      </w:r>
    </w:p>
    <w:tbl>
      <w:tblPr>
        <w:tblW w:type="auto" w:w="0"/>
        <w:jc w:val="center"/>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50" w:type="dxa"/>
          <w:left w:w="80" w:type="dxa"/>
          <w:bottom w:w="50" w:type="dxa"/>
          <w:right w:w="80" w:type="dxa"/>
        </w:tblCellMar>
        <w:tblLayout w:type="fixed"/>
      </w:tblPr>
      <w:tblGrid>
        <w:gridCol w:w="793"/>
        <w:gridCol w:w="6576"/>
        <w:gridCol w:w="2267"/>
      </w:tblGrid>
      <w:tr>
        <w:trPr>
          <w:tblHeader w:val="true"/>
        </w:trPr>
        <w:tc>
          <w:tcPr>
            <w:tcW w:type="dxa" w:w="794"/>
            <w:vAlign w:val="center"/>
            <w:shd w:val="clear" w:color="auto" w:fill="0F2A3D"/>
          </w:tcPr>
          <w:p>
            <w:pPr>
              <w:spacing w:after="0" w:before="0"/>
            </w:pPr>
            <w:r/>
            <w:r>
              <w:rPr>
                <w:b/>
                <w:i w:val="0"/>
                <w:color w:val="FFFFFF"/>
                <w:sz w:val="19"/>
              </w:rPr>
              <w:t>ID</w:t>
            </w:r>
          </w:p>
        </w:tc>
        <w:tc>
          <w:tcPr>
            <w:tcW w:type="dxa" w:w="6576"/>
            <w:vAlign w:val="center"/>
            <w:shd w:val="clear" w:color="auto" w:fill="0F2A3D"/>
          </w:tcPr>
          <w:p>
            <w:pPr>
              <w:spacing w:after="0" w:before="0"/>
            </w:pPr>
            <w:r/>
            <w:r>
              <w:rPr>
                <w:b/>
                <w:i w:val="0"/>
                <w:color w:val="FFFFFF"/>
                <w:sz w:val="19"/>
              </w:rPr>
              <w:t>Deliverable</w:t>
            </w:r>
          </w:p>
        </w:tc>
        <w:tc>
          <w:tcPr>
            <w:tcW w:type="dxa" w:w="2268"/>
            <w:vAlign w:val="center"/>
            <w:shd w:val="clear" w:color="auto" w:fill="0F2A3D"/>
          </w:tcPr>
          <w:p>
            <w:pPr>
              <w:spacing w:after="0" w:before="0"/>
            </w:pPr>
            <w:r/>
            <w:r>
              <w:rPr>
                <w:b/>
                <w:i w:val="0"/>
                <w:color w:val="FFFFFF"/>
                <w:sz w:val="19"/>
              </w:rPr>
              <w:t>Due</w:t>
            </w:r>
          </w:p>
        </w:tc>
      </w:tr>
      <w:tr>
        <w:trPr>
          <w:cantSplit w:val="true"/>
        </w:trPr>
        <w:tc>
          <w:tcPr>
            <w:tcW w:type="dxa" w:w="794"/>
            <w:vAlign w:val="top"/>
            <w:shd w:val="clear" w:color="auto" w:fill="EAF1F4"/>
          </w:tcPr>
          <w:p>
            <w:pPr>
              <w:spacing w:after="0" w:before="0"/>
            </w:pPr>
            <w:r/>
            <w:r>
              <w:rPr>
                <w:b/>
                <w:i w:val="0"/>
                <w:sz w:val="19"/>
              </w:rPr>
              <w:t>D1</w:t>
            </w:r>
          </w:p>
        </w:tc>
        <w:tc>
          <w:tcPr>
            <w:tcW w:type="dxa" w:w="6576"/>
            <w:vAlign w:val="top"/>
            <w:shd w:val="clear" w:color="auto" w:fill="EAF1F4"/>
          </w:tcPr>
          <w:p>
            <w:pPr>
              <w:spacing w:after="0" w:before="0"/>
            </w:pPr>
            <w:r/>
            <w:r>
              <w:rPr>
                <w:b w:val="0"/>
                <w:i w:val="0"/>
                <w:sz w:val="19"/>
              </w:rPr>
              <w:t>Corrected CET-ViT release: erratum, model card, licence, public repository</w:t>
            </w:r>
          </w:p>
        </w:tc>
        <w:tc>
          <w:tcPr>
            <w:tcW w:type="dxa" w:w="2268"/>
            <w:vAlign w:val="top"/>
            <w:shd w:val="clear" w:color="auto" w:fill="EAF1F4"/>
          </w:tcPr>
          <w:p>
            <w:pPr>
              <w:spacing w:after="0" w:before="0"/>
            </w:pPr>
            <w:r/>
            <w:r>
              <w:rPr>
                <w:b w:val="0"/>
                <w:i w:val="0"/>
                <w:sz w:val="19"/>
              </w:rPr>
              <w:t>Dec 2026</w:t>
            </w:r>
          </w:p>
        </w:tc>
      </w:tr>
      <w:tr>
        <w:trPr>
          <w:cantSplit w:val="true"/>
        </w:trPr>
        <w:tc>
          <w:tcPr>
            <w:tcW w:type="dxa" w:w="794"/>
            <w:vAlign w:val="top"/>
          </w:tcPr>
          <w:p>
            <w:pPr>
              <w:spacing w:after="0" w:before="0"/>
            </w:pPr>
            <w:r/>
            <w:r>
              <w:rPr>
                <w:b/>
                <w:i w:val="0"/>
                <w:sz w:val="19"/>
              </w:rPr>
              <w:t>D2</w:t>
            </w:r>
          </w:p>
        </w:tc>
        <w:tc>
          <w:tcPr>
            <w:tcW w:type="dxa" w:w="6576"/>
            <w:vAlign w:val="top"/>
          </w:tcPr>
          <w:p>
            <w:pPr>
              <w:spacing w:after="0" w:before="0"/>
            </w:pPr>
            <w:r/>
            <w:r>
              <w:rPr>
                <w:b w:val="0"/>
                <w:i w:val="0"/>
                <w:sz w:val="19"/>
              </w:rPr>
              <w:t>Paper 1: compute-matched audit (existing draft v13), submitted after co-author review</w:t>
            </w:r>
          </w:p>
        </w:tc>
        <w:tc>
          <w:tcPr>
            <w:tcW w:type="dxa" w:w="2268"/>
            <w:vAlign w:val="top"/>
          </w:tcPr>
          <w:p>
            <w:pPr>
              <w:spacing w:after="0" w:before="0"/>
            </w:pPr>
            <w:r/>
            <w:r>
              <w:rPr>
                <w:b w:val="0"/>
                <w:i w:val="0"/>
                <w:sz w:val="19"/>
              </w:rPr>
              <w:t>Dec 2026 to Jan 2027</w:t>
            </w:r>
          </w:p>
        </w:tc>
      </w:tr>
      <w:tr>
        <w:trPr>
          <w:cantSplit w:val="true"/>
        </w:trPr>
        <w:tc>
          <w:tcPr>
            <w:tcW w:type="dxa" w:w="794"/>
            <w:vAlign w:val="top"/>
            <w:shd w:val="clear" w:color="auto" w:fill="EAF1F4"/>
          </w:tcPr>
          <w:p>
            <w:pPr>
              <w:spacing w:after="0" w:before="0"/>
            </w:pPr>
            <w:r/>
            <w:r>
              <w:rPr>
                <w:b/>
                <w:i w:val="0"/>
                <w:sz w:val="19"/>
              </w:rPr>
              <w:t>D3</w:t>
            </w:r>
          </w:p>
        </w:tc>
        <w:tc>
          <w:tcPr>
            <w:tcW w:type="dxa" w:w="6576"/>
            <w:vAlign w:val="top"/>
            <w:shd w:val="clear" w:color="auto" w:fill="EAF1F4"/>
          </w:tcPr>
          <w:p>
            <w:pPr>
              <w:spacing w:after="0" w:before="0"/>
            </w:pPr>
            <w:r/>
            <w:r>
              <w:rPr>
                <w:b w:val="0"/>
                <w:i w:val="0"/>
                <w:sz w:val="19"/>
              </w:rPr>
              <w:t>OSF-registered study plan for RO2 to RO4</w:t>
            </w:r>
          </w:p>
        </w:tc>
        <w:tc>
          <w:tcPr>
            <w:tcW w:type="dxa" w:w="2268"/>
            <w:vAlign w:val="top"/>
            <w:shd w:val="clear" w:color="auto" w:fill="EAF1F4"/>
          </w:tcPr>
          <w:p>
            <w:pPr>
              <w:spacing w:after="0" w:before="0"/>
            </w:pPr>
            <w:r/>
            <w:r>
              <w:rPr>
                <w:b w:val="0"/>
                <w:i w:val="0"/>
                <w:sz w:val="19"/>
              </w:rPr>
              <w:t>Dec 2026</w:t>
            </w:r>
          </w:p>
        </w:tc>
      </w:tr>
      <w:tr>
        <w:trPr>
          <w:cantSplit w:val="true"/>
        </w:trPr>
        <w:tc>
          <w:tcPr>
            <w:tcW w:type="dxa" w:w="794"/>
            <w:vAlign w:val="top"/>
          </w:tcPr>
          <w:p>
            <w:pPr>
              <w:spacing w:after="0" w:before="0"/>
            </w:pPr>
            <w:r/>
            <w:r>
              <w:rPr>
                <w:b/>
                <w:i w:val="0"/>
                <w:sz w:val="19"/>
              </w:rPr>
              <w:t>D4</w:t>
            </w:r>
          </w:p>
        </w:tc>
        <w:tc>
          <w:tcPr>
            <w:tcW w:type="dxa" w:w="6576"/>
            <w:vAlign w:val="top"/>
          </w:tcPr>
          <w:p>
            <w:pPr>
              <w:spacing w:after="0" w:before="0"/>
            </w:pPr>
            <w:r/>
            <w:r>
              <w:rPr>
                <w:b w:val="0"/>
                <w:i w:val="0"/>
                <w:sz w:val="19"/>
              </w:rPr>
              <w:t>Capacity-control results on CIFAR-100 and Tiny-ImageNet</w:t>
            </w:r>
          </w:p>
        </w:tc>
        <w:tc>
          <w:tcPr>
            <w:tcW w:type="dxa" w:w="2268"/>
            <w:vAlign w:val="top"/>
          </w:tcPr>
          <w:p>
            <w:pPr>
              <w:spacing w:after="0" w:before="0"/>
            </w:pPr>
            <w:r/>
            <w:r>
              <w:rPr>
                <w:b w:val="0"/>
                <w:i w:val="0"/>
                <w:sz w:val="19"/>
              </w:rPr>
              <w:t>Feb 2027</w:t>
            </w:r>
          </w:p>
        </w:tc>
      </w:tr>
      <w:tr>
        <w:trPr>
          <w:cantSplit w:val="true"/>
        </w:trPr>
        <w:tc>
          <w:tcPr>
            <w:tcW w:type="dxa" w:w="794"/>
            <w:vAlign w:val="top"/>
            <w:shd w:val="clear" w:color="auto" w:fill="EAF1F4"/>
          </w:tcPr>
          <w:p>
            <w:pPr>
              <w:spacing w:after="0" w:before="0"/>
            </w:pPr>
            <w:r/>
            <w:r>
              <w:rPr>
                <w:b/>
                <w:i w:val="0"/>
                <w:sz w:val="19"/>
              </w:rPr>
              <w:t>D5</w:t>
            </w:r>
          </w:p>
        </w:tc>
        <w:tc>
          <w:tcPr>
            <w:tcW w:type="dxa" w:w="6576"/>
            <w:vAlign w:val="top"/>
            <w:shd w:val="clear" w:color="auto" w:fill="EAF1F4"/>
          </w:tcPr>
          <w:p>
            <w:pPr>
              <w:spacing w:after="0" w:before="0"/>
            </w:pPr>
            <w:r/>
            <w:r>
              <w:rPr>
                <w:b w:val="0"/>
                <w:i w:val="0"/>
                <w:sz w:val="19"/>
              </w:rPr>
              <w:t>ImageNet-100 and region-evaluation results</w:t>
            </w:r>
          </w:p>
        </w:tc>
        <w:tc>
          <w:tcPr>
            <w:tcW w:type="dxa" w:w="2268"/>
            <w:vAlign w:val="top"/>
            <w:shd w:val="clear" w:color="auto" w:fill="EAF1F4"/>
          </w:tcPr>
          <w:p>
            <w:pPr>
              <w:spacing w:after="0" w:before="0"/>
            </w:pPr>
            <w:r/>
            <w:r>
              <w:rPr>
                <w:b w:val="0"/>
                <w:i w:val="0"/>
                <w:sz w:val="19"/>
              </w:rPr>
              <w:t>Mar 2027</w:t>
            </w:r>
          </w:p>
        </w:tc>
      </w:tr>
      <w:tr>
        <w:trPr>
          <w:cantSplit w:val="true"/>
        </w:trPr>
        <w:tc>
          <w:tcPr>
            <w:tcW w:type="dxa" w:w="794"/>
            <w:vAlign w:val="top"/>
          </w:tcPr>
          <w:p>
            <w:pPr>
              <w:spacing w:after="0" w:before="0"/>
            </w:pPr>
            <w:r/>
            <w:r>
              <w:rPr>
                <w:b/>
                <w:i w:val="0"/>
                <w:sz w:val="19"/>
              </w:rPr>
              <w:t>D6</w:t>
            </w:r>
          </w:p>
        </w:tc>
        <w:tc>
          <w:tcPr>
            <w:tcW w:type="dxa" w:w="6576"/>
            <w:vAlign w:val="top"/>
          </w:tcPr>
          <w:p>
            <w:pPr>
              <w:spacing w:after="0" w:before="0"/>
            </w:pPr>
            <w:r/>
            <w:r>
              <w:rPr>
                <w:b w:val="0"/>
                <w:i w:val="0"/>
                <w:sz w:val="19"/>
              </w:rPr>
              <w:t>Paper 2: capacity-controlled grouping study, submitted</w:t>
            </w:r>
          </w:p>
        </w:tc>
        <w:tc>
          <w:tcPr>
            <w:tcW w:type="dxa" w:w="2268"/>
            <w:vAlign w:val="top"/>
          </w:tcPr>
          <w:p>
            <w:pPr>
              <w:spacing w:after="0" w:before="0"/>
            </w:pPr>
            <w:r/>
            <w:r>
              <w:rPr>
                <w:b w:val="0"/>
                <w:i w:val="0"/>
                <w:sz w:val="19"/>
              </w:rPr>
              <w:t>Apr 2027</w:t>
            </w:r>
          </w:p>
        </w:tc>
      </w:tr>
      <w:tr>
        <w:trPr>
          <w:cantSplit w:val="true"/>
        </w:trPr>
        <w:tc>
          <w:tcPr>
            <w:tcW w:type="dxa" w:w="794"/>
            <w:vAlign w:val="top"/>
            <w:shd w:val="clear" w:color="auto" w:fill="EAF1F4"/>
          </w:tcPr>
          <w:p>
            <w:pPr>
              <w:spacing w:after="0" w:before="0"/>
            </w:pPr>
            <w:r/>
            <w:r>
              <w:rPr>
                <w:b/>
                <w:i w:val="0"/>
                <w:sz w:val="19"/>
              </w:rPr>
              <w:t>D7</w:t>
            </w:r>
          </w:p>
        </w:tc>
        <w:tc>
          <w:tcPr>
            <w:tcW w:type="dxa" w:w="6576"/>
            <w:vAlign w:val="top"/>
            <w:shd w:val="clear" w:color="auto" w:fill="EAF1F4"/>
          </w:tcPr>
          <w:p>
            <w:pPr>
              <w:spacing w:after="0" w:before="0"/>
            </w:pPr>
            <w:r/>
            <w:r>
              <w:rPr>
                <w:b w:val="0"/>
                <w:i w:val="0"/>
                <w:sz w:val="19"/>
              </w:rPr>
              <w:t>Final report and viva material</w:t>
            </w:r>
          </w:p>
        </w:tc>
        <w:tc>
          <w:tcPr>
            <w:tcW w:type="dxa" w:w="2268"/>
            <w:vAlign w:val="top"/>
            <w:shd w:val="clear" w:color="auto" w:fill="EAF1F4"/>
          </w:tcPr>
          <w:p>
            <w:pPr>
              <w:spacing w:after="0" w:before="0"/>
            </w:pPr>
            <w:r/>
            <w:r>
              <w:rPr>
                <w:b w:val="0"/>
                <w:i w:val="0"/>
                <w:sz w:val="19"/>
              </w:rPr>
              <w:t>Apr to May 2027</w:t>
            </w:r>
          </w:p>
        </w:tc>
      </w:tr>
    </w:tbl>
    <w:p>
      <w:pPr>
        <w:spacing w:after="160"/>
      </w:pPr>
      <w:r>
        <w:rPr>
          <w:b w:val="0"/>
          <w:i/>
          <w:color w:val="5B6B77"/>
          <w:sz w:val="18"/>
        </w:rPr>
        <w:t>Table 7. Deliverables.</w:t>
      </w:r>
    </w:p>
    <w:p>
      <w:pPr>
        <w:jc w:val="both"/>
      </w:pPr>
      <w:r>
        <w:rPr>
          <w:b w:val="0"/>
          <w:i w:val="0"/>
        </w:rPr>
        <w:t>Technology Readiness Level. Current TRL 3: experimental proof of concept at CIFAR scale (minor project plus audit). Target TRL 4: technology validated in the laboratory: a reproducible, controlled, multi-data-set evaluation harness.</w:t>
      </w:r>
    </w:p>
    <w:p>
      <w:pPr>
        <w:jc w:val="both"/>
      </w:pPr>
      <w:r>
        <w:rPr>
          <w:b w:val="0"/>
          <w:i w:val="0"/>
        </w:rPr>
        <w:t>Publication plan. Publication is mandatory this academic year. Paper 1 (the compute-matched audit, existing draft v13) is submitted first, after the guide and co-authors have reviewed the erratum for the minor-project paper. Paper 2 (the capacity-controlled study) follows in April 2027. Venues will be matched against SRM's approved journal list, and a conference fallback is kept so that publication lands within the academic year.</w:t>
      </w:r>
    </w:p>
    <w:p>
      <w:pPr>
        <w:pStyle w:val="Heading1"/>
      </w:pPr>
      <w:r>
        <w:t>10. Risks and mitigation</w:t>
      </w:r>
    </w:p>
    <w:tbl>
      <w:tblPr>
        <w:tblW w:type="auto" w:w="0"/>
        <w:jc w:val="center"/>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50" w:type="dxa"/>
          <w:left w:w="80" w:type="dxa"/>
          <w:bottom w:w="50" w:type="dxa"/>
          <w:right w:w="80" w:type="dxa"/>
        </w:tblCellMar>
        <w:tblLayout w:type="fixed"/>
      </w:tblPr>
      <w:tblGrid>
        <w:gridCol w:w="1700"/>
        <w:gridCol w:w="3968"/>
        <w:gridCol w:w="3968"/>
      </w:tblGrid>
      <w:tr>
        <w:trPr>
          <w:tblHeader w:val="true"/>
        </w:trPr>
        <w:tc>
          <w:tcPr>
            <w:tcW w:type="dxa" w:w="1701"/>
            <w:vAlign w:val="center"/>
            <w:shd w:val="clear" w:color="auto" w:fill="0F2A3D"/>
          </w:tcPr>
          <w:p>
            <w:pPr>
              <w:spacing w:after="0" w:before="0"/>
            </w:pPr>
            <w:r/>
            <w:r>
              <w:rPr>
                <w:b/>
                <w:i w:val="0"/>
                <w:color w:val="FFFFFF"/>
                <w:sz w:val="18"/>
              </w:rPr>
              <w:t>Risk</w:t>
            </w:r>
          </w:p>
        </w:tc>
        <w:tc>
          <w:tcPr>
            <w:tcW w:type="dxa" w:w="3969"/>
            <w:vAlign w:val="center"/>
            <w:shd w:val="clear" w:color="auto" w:fill="0F2A3D"/>
          </w:tcPr>
          <w:p>
            <w:pPr>
              <w:spacing w:after="0" w:before="0"/>
            </w:pPr>
            <w:r/>
            <w:r>
              <w:rPr>
                <w:b/>
                <w:i w:val="0"/>
                <w:color w:val="FFFFFF"/>
                <w:sz w:val="18"/>
              </w:rPr>
              <w:t>What could go wrong</w:t>
            </w:r>
          </w:p>
        </w:tc>
        <w:tc>
          <w:tcPr>
            <w:tcW w:type="dxa" w:w="3969"/>
            <w:vAlign w:val="center"/>
            <w:shd w:val="clear" w:color="auto" w:fill="0F2A3D"/>
          </w:tcPr>
          <w:p>
            <w:pPr>
              <w:spacing w:after="0" w:before="0"/>
            </w:pPr>
            <w:r/>
            <w:r>
              <w:rPr>
                <w:b/>
                <w:i w:val="0"/>
                <w:color w:val="FFFFFF"/>
                <w:sz w:val="18"/>
              </w:rPr>
              <w:t>Mitigation</w:t>
            </w:r>
          </w:p>
        </w:tc>
      </w:tr>
      <w:tr>
        <w:trPr>
          <w:cantSplit w:val="true"/>
        </w:trPr>
        <w:tc>
          <w:tcPr>
            <w:tcW w:type="dxa" w:w="1701"/>
            <w:vAlign w:val="top"/>
            <w:shd w:val="clear" w:color="auto" w:fill="EAF1F4"/>
          </w:tcPr>
          <w:p>
            <w:pPr>
              <w:spacing w:after="0" w:before="0"/>
            </w:pPr>
            <w:r/>
            <w:r>
              <w:rPr>
                <w:b/>
                <w:i w:val="0"/>
                <w:sz w:val="18"/>
              </w:rPr>
              <w:t>Compute</w:t>
            </w:r>
          </w:p>
        </w:tc>
        <w:tc>
          <w:tcPr>
            <w:tcW w:type="dxa" w:w="3969"/>
            <w:vAlign w:val="top"/>
            <w:shd w:val="clear" w:color="auto" w:fill="EAF1F4"/>
          </w:tcPr>
          <w:p>
            <w:pPr>
              <w:spacing w:after="0" w:before="0"/>
            </w:pPr>
            <w:r/>
            <w:r>
              <w:rPr>
                <w:b w:val="0"/>
                <w:i w:val="0"/>
                <w:sz w:val="18"/>
              </w:rPr>
              <w:t>The audit averaged about 1 H100-hour per run. RO2 needs roughly 200 runs, and ImageNet-100 is extra.</w:t>
            </w:r>
          </w:p>
        </w:tc>
        <w:tc>
          <w:tcPr>
            <w:tcW w:type="dxa" w:w="3969"/>
            <w:vAlign w:val="top"/>
            <w:shd w:val="clear" w:color="auto" w:fill="EAF1F4"/>
          </w:tcPr>
          <w:p>
            <w:pPr>
              <w:spacing w:after="0" w:before="0"/>
            </w:pPr>
            <w:r/>
            <w:r>
              <w:rPr>
                <w:b w:val="0"/>
                <w:i w:val="0"/>
                <w:sz w:val="18"/>
              </w:rPr>
              <w:t>Cut ImageNet-100 to arms A, best control and G; confirm available GPU budget at Review I.</w:t>
            </w:r>
          </w:p>
        </w:tc>
      </w:tr>
      <w:tr>
        <w:trPr>
          <w:cantSplit w:val="true"/>
        </w:trPr>
        <w:tc>
          <w:tcPr>
            <w:tcW w:type="dxa" w:w="1701"/>
            <w:vAlign w:val="top"/>
          </w:tcPr>
          <w:p>
            <w:pPr>
              <w:spacing w:after="0" w:before="0"/>
            </w:pPr>
            <w:r/>
            <w:r>
              <w:rPr>
                <w:b/>
                <w:i w:val="0"/>
                <w:sz w:val="18"/>
              </w:rPr>
              <w:t>Publication timing</w:t>
            </w:r>
          </w:p>
        </w:tc>
        <w:tc>
          <w:tcPr>
            <w:tcW w:type="dxa" w:w="3969"/>
            <w:vAlign w:val="top"/>
          </w:tcPr>
          <w:p>
            <w:pPr>
              <w:spacing w:after="0" w:before="0"/>
            </w:pPr>
            <w:r/>
            <w:r>
              <w:rPr>
                <w:b w:val="0"/>
                <w:i w:val="0"/>
                <w:sz w:val="18"/>
              </w:rPr>
              <w:t>Journal review can outlast the academic year, and publication is mandatory.</w:t>
            </w:r>
          </w:p>
        </w:tc>
        <w:tc>
          <w:tcPr>
            <w:tcW w:type="dxa" w:w="3969"/>
            <w:vAlign w:val="top"/>
          </w:tcPr>
          <w:p>
            <w:pPr>
              <w:spacing w:after="0" w:before="0"/>
            </w:pPr>
            <w:r/>
            <w:r>
              <w:rPr>
                <w:b w:val="0"/>
                <w:i w:val="0"/>
                <w:sz w:val="18"/>
              </w:rPr>
              <w:t>Submit Paper 1 in Dec 2026; keep a conference fallback; check venues against SRM's approved list.</w:t>
            </w:r>
          </w:p>
        </w:tc>
      </w:tr>
      <w:tr>
        <w:trPr>
          <w:cantSplit w:val="true"/>
        </w:trPr>
        <w:tc>
          <w:tcPr>
            <w:tcW w:type="dxa" w:w="1701"/>
            <w:vAlign w:val="top"/>
            <w:shd w:val="clear" w:color="auto" w:fill="EAF1F4"/>
          </w:tcPr>
          <w:p>
            <w:pPr>
              <w:spacing w:after="0" w:before="0"/>
            </w:pPr>
            <w:r/>
            <w:r>
              <w:rPr>
                <w:b/>
                <w:i w:val="0"/>
                <w:sz w:val="18"/>
              </w:rPr>
              <w:t>Null result</w:t>
            </w:r>
          </w:p>
        </w:tc>
        <w:tc>
          <w:tcPr>
            <w:tcW w:type="dxa" w:w="3969"/>
            <w:vAlign w:val="top"/>
            <w:shd w:val="clear" w:color="auto" w:fill="EAF1F4"/>
          </w:tcPr>
          <w:p>
            <w:pPr>
              <w:spacing w:after="0" w:before="0"/>
            </w:pPr>
            <w:r/>
            <w:r>
              <w:rPr>
                <w:b w:val="0"/>
                <w:i w:val="0"/>
                <w:sz w:val="18"/>
              </w:rPr>
              <w:t>Grouping may show no benefit over controls.</w:t>
            </w:r>
          </w:p>
        </w:tc>
        <w:tc>
          <w:tcPr>
            <w:tcW w:type="dxa" w:w="3969"/>
            <w:vAlign w:val="top"/>
            <w:shd w:val="clear" w:color="auto" w:fill="EAF1F4"/>
          </w:tcPr>
          <w:p>
            <w:pPr>
              <w:spacing w:after="0" w:before="0"/>
            </w:pPr>
            <w:r/>
            <w:r>
              <w:rPr>
                <w:b w:val="0"/>
                <w:i w:val="0"/>
                <w:sz w:val="18"/>
              </w:rPr>
              <w:t>Registered plan makes a null or equivalence result publishable; it is the honest answer to RQ1.</w:t>
            </w:r>
          </w:p>
        </w:tc>
      </w:tr>
      <w:tr>
        <w:trPr>
          <w:cantSplit w:val="true"/>
        </w:trPr>
        <w:tc>
          <w:tcPr>
            <w:tcW w:type="dxa" w:w="1701"/>
            <w:vAlign w:val="top"/>
          </w:tcPr>
          <w:p>
            <w:pPr>
              <w:spacing w:after="0" w:before="0"/>
            </w:pPr>
            <w:r/>
            <w:r>
              <w:rPr>
                <w:b/>
                <w:i w:val="0"/>
                <w:sz w:val="18"/>
              </w:rPr>
              <w:t>Correction of published work</w:t>
            </w:r>
          </w:p>
        </w:tc>
        <w:tc>
          <w:tcPr>
            <w:tcW w:type="dxa" w:w="3969"/>
            <w:vAlign w:val="top"/>
          </w:tcPr>
          <w:p>
            <w:pPr>
              <w:spacing w:after="0" w:before="0"/>
            </w:pPr>
            <w:r/>
            <w:r>
              <w:rPr>
                <w:b w:val="0"/>
                <w:i w:val="0"/>
                <w:sz w:val="18"/>
              </w:rPr>
              <w:t>The IEEE paper needs corrections that involve co-authors and the guide.</w:t>
            </w:r>
          </w:p>
        </w:tc>
        <w:tc>
          <w:tcPr>
            <w:tcW w:type="dxa" w:w="3969"/>
            <w:vAlign w:val="top"/>
          </w:tcPr>
          <w:p>
            <w:pPr>
              <w:spacing w:after="0" w:before="0"/>
            </w:pPr>
            <w:r/>
            <w:r>
              <w:rPr>
                <w:b w:val="0"/>
                <w:i w:val="0"/>
                <w:sz w:val="18"/>
              </w:rPr>
              <w:t>Share the erratum draft with the guide and co-authors before Review 0.</w:t>
            </w:r>
          </w:p>
        </w:tc>
      </w:tr>
      <w:tr>
        <w:trPr>
          <w:cantSplit w:val="true"/>
        </w:trPr>
        <w:tc>
          <w:tcPr>
            <w:tcW w:type="dxa" w:w="1701"/>
            <w:vAlign w:val="top"/>
            <w:shd w:val="clear" w:color="auto" w:fill="EAF1F4"/>
          </w:tcPr>
          <w:p>
            <w:pPr>
              <w:spacing w:after="0" w:before="0"/>
            </w:pPr>
            <w:r/>
            <w:r>
              <w:rPr>
                <w:b/>
                <w:i w:val="0"/>
                <w:sz w:val="18"/>
              </w:rPr>
              <w:t>Release hygiene</w:t>
            </w:r>
          </w:p>
        </w:tc>
        <w:tc>
          <w:tcPr>
            <w:tcW w:type="dxa" w:w="3969"/>
            <w:vAlign w:val="top"/>
            <w:shd w:val="clear" w:color="auto" w:fill="EAF1F4"/>
          </w:tcPr>
          <w:p>
            <w:pPr>
              <w:spacing w:after="0" w:before="0"/>
            </w:pPr>
            <w:r/>
            <w:r>
              <w:rPr>
                <w:b w:val="0"/>
                <w:i w:val="0"/>
                <w:sz w:val="18"/>
              </w:rPr>
              <w:t>Private repository holds an email in git metadata and an undecided licence.</w:t>
            </w:r>
          </w:p>
        </w:tc>
        <w:tc>
          <w:tcPr>
            <w:tcW w:type="dxa" w:w="3969"/>
            <w:vAlign w:val="top"/>
            <w:shd w:val="clear" w:color="auto" w:fill="EAF1F4"/>
          </w:tcPr>
          <w:p>
            <w:pPr>
              <w:spacing w:after="0" w:before="0"/>
            </w:pPr>
            <w:r/>
            <w:r>
              <w:rPr>
                <w:b w:val="0"/>
                <w:i w:val="0"/>
                <w:sz w:val="18"/>
              </w:rPr>
              <w:t>Sanitise, choose a licence and release only the cleaned pack.</w:t>
            </w:r>
          </w:p>
        </w:tc>
      </w:tr>
    </w:tbl>
    <w:p>
      <w:pPr>
        <w:spacing w:after="160"/>
      </w:pPr>
      <w:r>
        <w:rPr>
          <w:b w:val="0"/>
          <w:i/>
          <w:color w:val="5B6B77"/>
          <w:sz w:val="18"/>
        </w:rPr>
        <w:t>Table 8. Risk register.</w:t>
      </w:r>
    </w:p>
    <w:p>
      <w:pPr>
        <w:pStyle w:val="Heading1"/>
      </w:pPr>
      <w:r>
        <w:t>11. Team roles and individual contribution</w:t>
      </w:r>
    </w:p>
    <w:tbl>
      <w:tblPr>
        <w:tblW w:type="auto" w:w="0"/>
        <w:jc w:val="center"/>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50" w:type="dxa"/>
          <w:left w:w="80" w:type="dxa"/>
          <w:bottom w:w="50" w:type="dxa"/>
          <w:right w:w="80" w:type="dxa"/>
        </w:tblCellMar>
        <w:tblLayout w:type="fixed"/>
      </w:tblPr>
      <w:tblGrid>
        <w:gridCol w:w="2267"/>
        <w:gridCol w:w="7370"/>
      </w:tblGrid>
      <w:tr>
        <w:trPr>
          <w:tblHeader w:val="true"/>
        </w:trPr>
        <w:tc>
          <w:tcPr>
            <w:tcW w:type="dxa" w:w="2268"/>
            <w:vAlign w:val="center"/>
            <w:shd w:val="clear" w:color="auto" w:fill="0F2A3D"/>
          </w:tcPr>
          <w:p>
            <w:pPr>
              <w:spacing w:after="0" w:before="0"/>
            </w:pPr>
            <w:r/>
            <w:r>
              <w:rPr>
                <w:b/>
                <w:i w:val="0"/>
                <w:color w:val="FFFFFF"/>
                <w:sz w:val="19"/>
              </w:rPr>
              <w:t>Team member</w:t>
            </w:r>
          </w:p>
        </w:tc>
        <w:tc>
          <w:tcPr>
            <w:tcW w:type="dxa" w:w="7370"/>
            <w:vAlign w:val="center"/>
            <w:shd w:val="clear" w:color="auto" w:fill="0F2A3D"/>
          </w:tcPr>
          <w:p>
            <w:pPr>
              <w:spacing w:after="0" w:before="0"/>
            </w:pPr>
            <w:r/>
            <w:r>
              <w:rPr>
                <w:b/>
                <w:i w:val="0"/>
                <w:color w:val="FFFFFF"/>
                <w:sz w:val="19"/>
              </w:rPr>
              <w:t>Proposed responsibilities</w:t>
            </w:r>
          </w:p>
        </w:tc>
      </w:tr>
      <w:tr>
        <w:trPr>
          <w:cantSplit w:val="true"/>
        </w:trPr>
        <w:tc>
          <w:tcPr>
            <w:tcW w:type="dxa" w:w="2268"/>
            <w:vAlign w:val="top"/>
            <w:shd w:val="clear" w:color="auto" w:fill="EAF1F4"/>
          </w:tcPr>
          <w:p>
            <w:pPr>
              <w:spacing w:after="0" w:before="0"/>
            </w:pPr>
            <w:r/>
            <w:r>
              <w:rPr>
                <w:b/>
                <w:i w:val="0"/>
                <w:sz w:val="19"/>
              </w:rPr>
              <w:t>Dhruv Jyoti Das</w:t>
            </w:r>
          </w:p>
        </w:tc>
        <w:tc>
          <w:tcPr>
            <w:tcW w:type="dxa" w:w="7370"/>
            <w:vAlign w:val="top"/>
            <w:shd w:val="clear" w:color="auto" w:fill="EAF1F4"/>
          </w:tcPr>
          <w:p>
            <w:pPr>
              <w:spacing w:after="0" w:before="0"/>
            </w:pPr>
            <w:r/>
            <w:r>
              <w:rPr>
                <w:b w:val="0"/>
                <w:i w:val="0"/>
                <w:sz w:val="19"/>
              </w:rPr>
              <w:t>- Model arms and control implementations (R, X, B2, G)</w:t>
              <w:br/>
              <w:t>- Training harness, LR sweeps, statistics and OSF plan</w:t>
              <w:br/>
              <w:t>- Corrected release and Paper 1 (audit)</w:t>
            </w:r>
          </w:p>
        </w:tc>
      </w:tr>
      <w:tr>
        <w:trPr>
          <w:cantSplit w:val="true"/>
        </w:trPr>
        <w:tc>
          <w:tcPr>
            <w:tcW w:type="dxa" w:w="2268"/>
            <w:vAlign w:val="top"/>
          </w:tcPr>
          <w:p>
            <w:pPr>
              <w:spacing w:after="0" w:before="0"/>
            </w:pPr>
            <w:r/>
            <w:r>
              <w:rPr>
                <w:b/>
                <w:i w:val="0"/>
                <w:sz w:val="19"/>
              </w:rPr>
              <w:t>Raghav Sharma</w:t>
            </w:r>
          </w:p>
        </w:tc>
        <w:tc>
          <w:tcPr>
            <w:tcW w:type="dxa" w:w="7370"/>
            <w:vAlign w:val="top"/>
          </w:tcPr>
          <w:p>
            <w:pPr>
              <w:spacing w:after="0" w:before="0"/>
            </w:pPr>
            <w:r/>
            <w:r>
              <w:rPr>
                <w:b w:val="0"/>
                <w:i w:val="0"/>
                <w:sz w:val="19"/>
              </w:rPr>
              <w:t>- ImageNet-100 data pipeline and Swin/ToMe baselines</w:t>
              <w:br/>
              <w:t>- Region-evaluation pipeline (masks, mIoU, purity)</w:t>
              <w:br/>
              <w:t>- Literature table upkeep and Paper 2 sections</w:t>
            </w:r>
          </w:p>
        </w:tc>
      </w:tr>
    </w:tbl>
    <w:p>
      <w:pPr>
        <w:spacing w:after="160"/>
      </w:pPr>
      <w:r>
        <w:rPr>
          <w:b w:val="0"/>
          <w:i/>
          <w:color w:val="5B6B77"/>
          <w:sz w:val="18"/>
        </w:rPr>
        <w:t>Table 9. Proposed split, to be confirmed with the guide; individual contributions are assessed at each review.</w:t>
      </w:r>
    </w:p>
    <w:p>
      <w:pPr>
        <w:pStyle w:val="Heading1"/>
      </w:pPr>
      <w:r>
        <w:t>References</w:t>
      </w:r>
    </w:p>
    <w:p>
      <w:pPr>
        <w:spacing w:after="60"/>
        <w:ind w:left="510" w:hanging="510"/>
      </w:pPr>
      <w:r>
        <w:rPr>
          <w:b/>
          <w:sz w:val="18"/>
        </w:rPr>
        <w:t xml:space="preserve">[1]  </w:t>
      </w:r>
      <w:r>
        <w:rPr>
          <w:sz w:val="18"/>
        </w:rPr>
        <w:t>D.-J. Lee, J. Hur, J. Choi, J. Yu and J. Kim, "Frequency-aware token reduction for efficient vision transformer," in Proc. NeurIPS, 2025.</w:t>
      </w:r>
    </w:p>
    <w:p>
      <w:pPr>
        <w:spacing w:after="60"/>
        <w:ind w:left="510" w:hanging="510"/>
      </w:pPr>
      <w:r>
        <w:rPr>
          <w:b/>
          <w:sz w:val="18"/>
        </w:rPr>
        <w:t xml:space="preserve">[2]  </w:t>
      </w:r>
      <w:r>
        <w:rPr>
          <w:sz w:val="18"/>
        </w:rPr>
        <w:t>W. Xie, X. Chen, X. Zhang, C. Hao, J. Ma, Y. Li and L. Fang, "Saliency-driven token merging for vision transformers," in Proc. IEEE/CVF CVPR, 2026.</w:t>
      </w:r>
    </w:p>
    <w:p>
      <w:pPr>
        <w:spacing w:after="60"/>
        <w:ind w:left="510" w:hanging="510"/>
      </w:pPr>
      <w:r>
        <w:rPr>
          <w:b/>
          <w:sz w:val="18"/>
        </w:rPr>
        <w:t xml:space="preserve">[3]  </w:t>
      </w:r>
      <w:r>
        <w:rPr>
          <w:sz w:val="18"/>
        </w:rPr>
        <w:t>Q. Zhou, H. Zhang, T. Yang, J. Gao and Q. Wang, "Statistically calibrated scaling for token merging in transformers," in Proc. ICML, 2026.</w:t>
      </w:r>
    </w:p>
    <w:p>
      <w:pPr>
        <w:spacing w:after="60"/>
        <w:ind w:left="510" w:hanging="510"/>
      </w:pPr>
      <w:r>
        <w:rPr>
          <w:b/>
          <w:sz w:val="18"/>
        </w:rPr>
        <w:t xml:space="preserve">[4]  </w:t>
      </w:r>
      <w:r>
        <w:rPr>
          <w:sz w:val="18"/>
        </w:rPr>
        <w:t>O. Schlesinger, A. Farzam, J. M. Di Martino and G. Sapiro, "SPOT: Sparsification with attention dynamics via token relevance in vision transformers," in Findings of IEEE/CVF CVPR, 2026.</w:t>
      </w:r>
    </w:p>
    <w:p>
      <w:pPr>
        <w:spacing w:after="60"/>
        <w:ind w:left="510" w:hanging="510"/>
      </w:pPr>
      <w:r>
        <w:rPr>
          <w:b/>
          <w:sz w:val="18"/>
        </w:rPr>
        <w:t xml:space="preserve">[5]  </w:t>
      </w:r>
      <w:r>
        <w:rPr>
          <w:sz w:val="18"/>
        </w:rPr>
        <w:t>Y. Wang and Y. Yang, "Efficient visual transformer by learnable token merging," IEEE Trans. Pattern Anal. Mach. Intell., vol. 47, no. 11, pp. 9608-9624, 2025, doi:10.1109/TPAMI.2025.3588186.</w:t>
      </w:r>
    </w:p>
    <w:p>
      <w:pPr>
        <w:spacing w:after="60"/>
        <w:ind w:left="510" w:hanging="510"/>
      </w:pPr>
      <w:r>
        <w:rPr>
          <w:b/>
          <w:sz w:val="18"/>
        </w:rPr>
        <w:t xml:space="preserve">[6]  </w:t>
      </w:r>
      <w:r>
        <w:rPr>
          <w:sz w:val="18"/>
        </w:rPr>
        <w:t>Y. Yu, D. Zhao, G. Shen, Y. Dong and Y. Zeng, "Brain-inspired stepwise patch merging for vision transformers," in Proc. IJCAI, 2025, doi:10.24963/ijcai.2025/257.</w:t>
      </w:r>
    </w:p>
    <w:p>
      <w:pPr>
        <w:spacing w:after="60"/>
        <w:ind w:left="510" w:hanging="510"/>
      </w:pPr>
      <w:r>
        <w:rPr>
          <w:b/>
          <w:sz w:val="18"/>
        </w:rPr>
        <w:t xml:space="preserve">[7]  </w:t>
      </w:r>
      <w:r>
        <w:rPr>
          <w:sz w:val="18"/>
        </w:rPr>
        <w:t>S. Yin, K. Yin, Y. Liu, W. Chen and L. Lin, "DART: Differentiable dynamic adaptive region tokenizer for vision transformer and Mamba," arXiv:2506.10390, 2025.</w:t>
      </w:r>
    </w:p>
    <w:p>
      <w:pPr>
        <w:spacing w:after="60"/>
        <w:ind w:left="510" w:hanging="510"/>
      </w:pPr>
      <w:r>
        <w:rPr>
          <w:b/>
          <w:sz w:val="18"/>
        </w:rPr>
        <w:t xml:space="preserve">[8]  </w:t>
      </w:r>
      <w:r>
        <w:rPr>
          <w:sz w:val="18"/>
        </w:rPr>
        <w:t>S. Duggal, P. Isola, A. Torralba and W. T. Freeman, "Adaptive length image tokenization via recurrent allocation," in Proc. ICLR, 2025.</w:t>
      </w:r>
    </w:p>
    <w:p>
      <w:pPr>
        <w:spacing w:after="60"/>
        <w:ind w:left="510" w:hanging="510"/>
      </w:pPr>
      <w:r>
        <w:rPr>
          <w:b/>
          <w:sz w:val="18"/>
        </w:rPr>
        <w:t xml:space="preserve">[9]  </w:t>
      </w:r>
      <w:r>
        <w:rPr>
          <w:sz w:val="18"/>
        </w:rPr>
        <w:t>P. Khadka, R. Rizk, L. Wang and K. C. Santosh, "CoSwin: Convolution enhanced hierarchical shifted window attention for small-scale vision," arXiv preprint, 2025.</w:t>
      </w:r>
    </w:p>
    <w:p>
      <w:pPr>
        <w:spacing w:after="60"/>
        <w:ind w:left="510" w:hanging="510"/>
      </w:pPr>
      <w:r>
        <w:rPr>
          <w:b/>
          <w:sz w:val="18"/>
        </w:rPr>
        <w:t xml:space="preserve">[10]  </w:t>
      </w:r>
      <w:r>
        <w:rPr>
          <w:sz w:val="18"/>
        </w:rPr>
        <w:t>N. Jiang, A. Dravid, A. A. Efros and Y. Gandelsman, "Vision transformers don't need trained registers," in Proc. NeurIPS, 2025.</w:t>
      </w:r>
    </w:p>
    <w:p>
      <w:pPr>
        <w:spacing w:after="60"/>
        <w:ind w:left="510" w:hanging="510"/>
      </w:pPr>
      <w:r>
        <w:rPr>
          <w:b/>
          <w:sz w:val="18"/>
        </w:rPr>
        <w:t xml:space="preserve">[11]  </w:t>
      </w:r>
      <w:r>
        <w:rPr>
          <w:sz w:val="18"/>
        </w:rPr>
        <w:t>Z. Yan, Y. Chen, C. Zhou, B. Dai and A. Luo, "Vision transformers with self-distilled registers," in Proc. NeurIPS, 2025.</w:t>
      </w:r>
    </w:p>
    <w:p>
      <w:pPr>
        <w:spacing w:after="60"/>
        <w:ind w:left="510" w:hanging="510"/>
      </w:pPr>
      <w:r>
        <w:rPr>
          <w:b/>
          <w:sz w:val="18"/>
        </w:rPr>
        <w:t xml:space="preserve">[12]  </w:t>
      </w:r>
      <w:r>
        <w:rPr>
          <w:sz w:val="18"/>
        </w:rPr>
        <w:t>A. Lappe and M. A. Giese, "Register and [CLS] tokens induce a decoupling of local and global features in large ViTs," in Proc. NeurIPS, 2025.</w:t>
      </w:r>
    </w:p>
    <w:p>
      <w:pPr>
        <w:spacing w:after="60"/>
        <w:ind w:left="510" w:hanging="510"/>
      </w:pPr>
      <w:r>
        <w:rPr>
          <w:b/>
          <w:sz w:val="18"/>
        </w:rPr>
        <w:t xml:space="preserve">[13]  </w:t>
      </w:r>
      <w:r>
        <w:rPr>
          <w:sz w:val="18"/>
        </w:rPr>
        <w:t>M. Tang and H. Qi, "The extra tokens matter: Disentangled representation learning with vision transformers," in Proc. ICML, 2026.</w:t>
      </w:r>
    </w:p>
    <w:p>
      <w:pPr>
        <w:spacing w:after="60"/>
        <w:ind w:left="510" w:hanging="510"/>
      </w:pPr>
      <w:r>
        <w:rPr>
          <w:b/>
          <w:sz w:val="18"/>
        </w:rPr>
        <w:t xml:space="preserve">[14]  </w:t>
      </w:r>
      <w:r>
        <w:rPr>
          <w:sz w:val="18"/>
        </w:rPr>
        <w:t>N. Dukic, T. Lebailly and T. Tuytelaars, "Object-centric pretraining via target encoder bootstrapping," in Proc. ICLR, 2025.</w:t>
      </w:r>
    </w:p>
    <w:p>
      <w:pPr>
        <w:spacing w:after="60"/>
        <w:ind w:left="510" w:hanging="510"/>
      </w:pPr>
      <w:r>
        <w:rPr>
          <w:b/>
          <w:sz w:val="18"/>
        </w:rPr>
        <w:t xml:space="preserve">[15]  </w:t>
      </w:r>
      <w:r>
        <w:rPr>
          <w:sz w:val="18"/>
        </w:rPr>
        <w:t>K. Singh, S. Schaub-Meyer and S. Roth, "GLASS: Guided latent slot diffusion for object-centric learning," in Proc. IEEE/CVF CVPR, 2025.</w:t>
      </w:r>
    </w:p>
    <w:p>
      <w:pPr>
        <w:spacing w:after="60"/>
        <w:ind w:left="510" w:hanging="510"/>
      </w:pPr>
      <w:r>
        <w:rPr>
          <w:b/>
          <w:sz w:val="18"/>
        </w:rPr>
        <w:t xml:space="preserve">[16]  </w:t>
      </w:r>
      <w:r>
        <w:rPr>
          <w:sz w:val="18"/>
        </w:rPr>
        <w:t>A. K. Akan, "Learning object-centric representations based on slots in real world scenarios," arXiv:2509.24652, 2025.</w:t>
      </w:r>
    </w:p>
    <w:p>
      <w:pPr>
        <w:spacing w:after="60"/>
        <w:ind w:left="510" w:hanging="510"/>
      </w:pPr>
      <w:r>
        <w:rPr>
          <w:b/>
          <w:sz w:val="18"/>
        </w:rPr>
        <w:t xml:space="preserve">[17]  </w:t>
      </w:r>
      <w:r>
        <w:rPr>
          <w:sz w:val="18"/>
        </w:rPr>
        <w:t>O. Simeoni et al., "DINOv3," arXiv:2508.10104, 2025.</w:t>
      </w:r>
    </w:p>
    <w:p>
      <w:pPr>
        <w:spacing w:after="60"/>
        <w:ind w:left="510" w:hanging="510"/>
      </w:pPr>
      <w:r>
        <w:rPr>
          <w:b/>
          <w:sz w:val="18"/>
        </w:rPr>
        <w:t xml:space="preserve">[18]  </w:t>
      </w:r>
      <w:r>
        <w:rPr>
          <w:sz w:val="18"/>
        </w:rPr>
        <w:t>S. Rawlekar, A. Swain, Y. Cai, Y. Wang, M.-H. Yang and N. Ahuja, "Finding distributed object-centric properties in self-supervised transformers," in Proc. IEEE/CVF CVPR, 2026.</w:t>
      </w:r>
    </w:p>
    <w:p>
      <w:pPr>
        <w:spacing w:after="60"/>
        <w:ind w:left="510" w:hanging="510"/>
      </w:pPr>
      <w:r>
        <w:rPr>
          <w:b/>
          <w:sz w:val="18"/>
        </w:rPr>
        <w:t xml:space="preserve">[19]  </w:t>
      </w:r>
      <w:r>
        <w:rPr>
          <w:sz w:val="18"/>
        </w:rPr>
        <w:t>K. Wen, D. L. W. Hall, T. Ma and P. Liang, "Fantastic pretraining optimizers and where to find them," in Proc. ICLR, 2026.</w:t>
      </w:r>
    </w:p>
    <w:p>
      <w:pPr>
        <w:spacing w:after="60"/>
        <w:ind w:left="510" w:hanging="510"/>
      </w:pPr>
      <w:r>
        <w:rPr>
          <w:b/>
          <w:sz w:val="18"/>
        </w:rPr>
        <w:t xml:space="preserve">[20]  </w:t>
      </w:r>
      <w:r>
        <w:rPr>
          <w:sz w:val="18"/>
        </w:rPr>
        <w:t>P. Kasimbeg, V. Roulet, N. Agarwal, S. Medapati, F. Pedregosa, A. Agarwala and G. E. Dahl, "How far away are truly hyperparameter-free learning algorithms?" Trans. Mach. Learn. Res., 2025.</w:t>
      </w:r>
    </w:p>
    <w:p>
      <w:pPr>
        <w:spacing w:after="60"/>
        <w:ind w:left="510" w:hanging="510"/>
      </w:pPr>
      <w:r>
        <w:rPr>
          <w:b/>
          <w:sz w:val="18"/>
        </w:rPr>
        <w:t xml:space="preserve">[21]  </w:t>
      </w:r>
      <w:r>
        <w:rPr>
          <w:sz w:val="18"/>
        </w:rPr>
        <w:t>A. Hochlehnert, H. Bhatnagar, V. Udandarao, S. Albanie, A. Prabhu and M. Bethge, "A sober look at progress in language model reasoning: Pitfalls and paths to reproducibility," in Proc. COLM, 2025.</w:t>
      </w:r>
    </w:p>
    <w:p>
      <w:pPr>
        <w:spacing w:after="60"/>
        <w:ind w:left="510" w:hanging="510"/>
      </w:pPr>
      <w:r>
        <w:rPr>
          <w:b/>
          <w:sz w:val="18"/>
        </w:rPr>
        <w:t xml:space="preserve">[22]  </w:t>
      </w:r>
      <w:r>
        <w:rPr>
          <w:sz w:val="18"/>
        </w:rPr>
        <w:t>E. Hoel, "Causal emergence 2.0: Quantifying emergent complexity," arXiv:2503.13395, 2025.</w:t>
      </w:r>
    </w:p>
    <w:p>
      <w:pPr>
        <w:spacing w:after="60"/>
        <w:ind w:left="510" w:hanging="510"/>
      </w:pPr>
      <w:r>
        <w:rPr>
          <w:b/>
          <w:sz w:val="18"/>
        </w:rPr>
        <w:t xml:space="preserve">[23]  </w:t>
      </w:r>
      <w:r>
        <w:rPr>
          <w:sz w:val="18"/>
        </w:rPr>
        <w:t>J. Zhang, R. Tao, K. H. Leong, M. Yang and B. Yuan, "Dynamical reversibility and a new theory of causal emergence based on SVD," npj Complexity, vol. 2, no. 1, p. 3, 2025.</w:t>
      </w:r>
    </w:p>
    <w:p>
      <w:pPr>
        <w:spacing w:after="60"/>
        <w:ind w:left="510" w:hanging="510"/>
      </w:pPr>
      <w:r>
        <w:rPr>
          <w:b/>
          <w:sz w:val="18"/>
        </w:rPr>
        <w:t xml:space="preserve">[24]  </w:t>
      </w:r>
      <w:r>
        <w:rPr>
          <w:sz w:val="18"/>
        </w:rPr>
        <w:t>D. J. Das, R. Sharma and E. M, "CET-ViT: Causal Emergence Transformer for Vision," in Proc. ICSL-DSGA, IEEE, 2026, doi:10.1109/ICSL-DSGA70378.2026.11736840.</w:t>
      </w:r>
    </w:p>
    <w:p>
      <w:pPr>
        <w:spacing w:after="60"/>
        <w:ind w:left="510" w:hanging="510"/>
      </w:pPr>
      <w:r>
        <w:rPr>
          <w:b/>
          <w:sz w:val="18"/>
        </w:rPr>
        <w:t xml:space="preserve">[25]  </w:t>
      </w:r>
      <w:r>
        <w:rPr>
          <w:sz w:val="18"/>
        </w:rPr>
        <w:t>D. J. Das, "A learned grouping branch versus a compute-matched control: the answer depends on the learning rate," unpublished manuscript (draft v13), 2026.</w:t>
      </w:r>
    </w:p>
    <w:p>
      <w:pPr>
        <w:spacing w:before="120" w:after="60"/>
      </w:pPr>
      <w:r>
        <w:rPr>
          <w:b/>
          <w:sz w:val="18"/>
        </w:rPr>
        <w:t>Background works (before 2025), cited in the text only:</w:t>
      </w:r>
    </w:p>
    <w:p>
      <w:pPr>
        <w:spacing w:after="60"/>
        <w:ind w:left="510" w:hanging="510"/>
      </w:pPr>
      <w:r>
        <w:rPr>
          <w:b/>
          <w:sz w:val="18"/>
        </w:rPr>
        <w:t xml:space="preserve">[B1]  </w:t>
      </w:r>
      <w:r>
        <w:rPr>
          <w:sz w:val="18"/>
        </w:rPr>
        <w:t>Z. Liu et al., "Swin Transformer: Hierarchical vision transformer using shifted windows," in Proc. IEEE/CVF ICCV, 2021, pp. 10012-10022.</w:t>
      </w:r>
    </w:p>
    <w:p>
      <w:pPr>
        <w:spacing w:after="60"/>
        <w:ind w:left="510" w:hanging="510"/>
      </w:pPr>
      <w:r>
        <w:rPr>
          <w:b/>
          <w:sz w:val="18"/>
        </w:rPr>
        <w:t xml:space="preserve">[B2]  </w:t>
      </w:r>
      <w:r>
        <w:rPr>
          <w:sz w:val="18"/>
        </w:rPr>
        <w:t>W. Wang et al., "Pyramid vision transformer: A versatile backbone for dense prediction without convolutions," in Proc. IEEE/CVF ICCV, 2021, pp. 568-578.</w:t>
      </w:r>
    </w:p>
    <w:p>
      <w:pPr>
        <w:sectPr>
          <w:footerReference w:type="default" r:id="rId9"/>
          <w:pgSz w:w="11906" w:h="16838"/>
          <w:pgMar w:top="1134" w:right="1134" w:bottom="1134" w:left="1134" w:header="720" w:footer="720" w:gutter="0"/>
          <w:cols w:space="720"/>
          <w:docGrid w:linePitch="360"/>
        </w:sectPr>
      </w:pPr>
    </w:p>
    <w:p>
      <w:pPr>
        <w:pStyle w:val="Heading1"/>
      </w:pPr>
      <w:r>
        <w:t>Annexure A: Literature survey table (full)</w:t>
      </w:r>
    </w:p>
    <w:tbl>
      <w:tblPr>
        <w:tblW w:type="auto" w:w="0"/>
        <w:jc w:val="center"/>
        <w:tblLook w:firstColumn="1" w:firstRow="1" w:lastColumn="0" w:lastRow="0" w:noHBand="0" w:noVBand="1" w:val="04A0"/>
        <w:tblBorders>
          <w:top w:val="single" w:sz="4" w:space="0" w:color="BFCDD5"/>
          <w:left w:val="single" w:sz="4" w:space="0" w:color="BFCDD5"/>
          <w:bottom w:val="single" w:sz="4" w:space="0" w:color="BFCDD5"/>
          <w:right w:val="single" w:sz="4" w:space="0" w:color="BFCDD5"/>
          <w:insideH w:val="single" w:sz="4" w:space="0" w:color="BFCDD5"/>
          <w:insideV w:val="single" w:sz="4" w:space="0" w:color="BFCDD5"/>
        </w:tblBorders>
        <w:tblCellMar>
          <w:top w:w="40" w:type="dxa"/>
          <w:left w:w="70" w:type="dxa"/>
          <w:bottom w:w="40" w:type="dxa"/>
          <w:right w:w="70" w:type="dxa"/>
        </w:tblCellMar>
        <w:tblLayout w:type="fixed"/>
      </w:tblPr>
      <w:tblGrid>
        <w:gridCol w:w="566"/>
        <w:gridCol w:w="2494"/>
        <w:gridCol w:w="3174"/>
        <w:gridCol w:w="2040"/>
        <w:gridCol w:w="2948"/>
        <w:gridCol w:w="3911"/>
      </w:tblGrid>
      <w:tr>
        <w:trPr>
          <w:tblHeader w:val="true"/>
        </w:trPr>
        <w:tc>
          <w:tcPr>
            <w:tcW w:type="dxa" w:w="567"/>
            <w:vAlign w:val="center"/>
            <w:shd w:val="clear" w:color="auto" w:fill="0F2A3D"/>
          </w:tcPr>
          <w:p>
            <w:pPr>
              <w:spacing w:after="0" w:before="0"/>
            </w:pPr>
            <w:r/>
            <w:r>
              <w:rPr>
                <w:b/>
                <w:i w:val="0"/>
                <w:color w:val="FFFFFF"/>
                <w:sz w:val="18"/>
              </w:rPr>
              <w:t>S.No</w:t>
            </w:r>
          </w:p>
        </w:tc>
        <w:tc>
          <w:tcPr>
            <w:tcW w:type="dxa" w:w="2494"/>
            <w:vAlign w:val="center"/>
            <w:shd w:val="clear" w:color="auto" w:fill="0F2A3D"/>
          </w:tcPr>
          <w:p>
            <w:pPr>
              <w:spacing w:after="0" w:before="0"/>
            </w:pPr>
            <w:r/>
            <w:r>
              <w:rPr>
                <w:b/>
                <w:i w:val="0"/>
                <w:color w:val="FFFFFF"/>
                <w:sz w:val="18"/>
              </w:rPr>
              <w:t>Reference (venue, year)</w:t>
            </w:r>
          </w:p>
        </w:tc>
        <w:tc>
          <w:tcPr>
            <w:tcW w:type="dxa" w:w="3175"/>
            <w:vAlign w:val="center"/>
            <w:shd w:val="clear" w:color="auto" w:fill="0F2A3D"/>
          </w:tcPr>
          <w:p>
            <w:pPr>
              <w:spacing w:after="0" w:before="0"/>
            </w:pPr>
            <w:r/>
            <w:r>
              <w:rPr>
                <w:b/>
                <w:i w:val="0"/>
                <w:color w:val="FFFFFF"/>
                <w:sz w:val="18"/>
              </w:rPr>
              <w:t>Technique / problem addressed</w:t>
            </w:r>
          </w:p>
        </w:tc>
        <w:tc>
          <w:tcPr>
            <w:tcW w:type="dxa" w:w="2041"/>
            <w:vAlign w:val="center"/>
            <w:shd w:val="clear" w:color="auto" w:fill="0F2A3D"/>
          </w:tcPr>
          <w:p>
            <w:pPr>
              <w:spacing w:after="0" w:before="0"/>
            </w:pPr>
            <w:r/>
            <w:r>
              <w:rPr>
                <w:b/>
                <w:i w:val="0"/>
                <w:color w:val="FFFFFF"/>
                <w:sz w:val="18"/>
              </w:rPr>
              <w:t>Setting (from abstract)</w:t>
            </w:r>
          </w:p>
        </w:tc>
        <w:tc>
          <w:tcPr>
            <w:tcW w:type="dxa" w:w="2948"/>
            <w:vAlign w:val="center"/>
            <w:shd w:val="clear" w:color="auto" w:fill="0F2A3D"/>
          </w:tcPr>
          <w:p>
            <w:pPr>
              <w:spacing w:after="0" w:before="0"/>
            </w:pPr>
            <w:r/>
            <w:r>
              <w:rPr>
                <w:b/>
                <w:i w:val="0"/>
                <w:color w:val="FFFFFF"/>
                <w:sz w:val="18"/>
              </w:rPr>
              <w:t>Key findings</w:t>
            </w:r>
          </w:p>
        </w:tc>
        <w:tc>
          <w:tcPr>
            <w:tcW w:type="dxa" w:w="3912"/>
            <w:vAlign w:val="center"/>
            <w:shd w:val="clear" w:color="auto" w:fill="0F2A3D"/>
          </w:tcPr>
          <w:p>
            <w:pPr>
              <w:spacing w:after="0" w:before="0"/>
            </w:pPr>
            <w:r/>
            <w:r>
              <w:rPr>
                <w:b/>
                <w:i w:val="0"/>
                <w:color w:val="FFFFFF"/>
                <w:sz w:val="18"/>
              </w:rPr>
              <w:t>Limitations / research gap for this project</w:t>
            </w:r>
          </w:p>
        </w:tc>
      </w:tr>
      <w:tr>
        <w:trPr>
          <w:cantSplit w:val="true"/>
        </w:trPr>
        <w:tc>
          <w:tcPr>
            <w:tcW w:type="dxa" w:w="3912"/>
            <w:gridSpan w:val="6"/>
            <w:vAlign w:val="center"/>
            <w:shd w:val="clear" w:color="auto" w:fill="D3E3E9"/>
          </w:tcPr>
          <w:p>
            <w:pPr>
              <w:keepNext/>
              <w:spacing w:after="0" w:before="0"/>
            </w:pPr>
            <w:r/>
            <w:r>
              <w:rPr>
                <w:b/>
                <w:i w:val="0"/>
                <w:color w:val="0F2A3D"/>
                <w:sz w:val="17"/>
              </w:rPr>
              <w:t>TOKEN MERGING AND PRUNING</w:t>
            </w:r>
          </w:p>
        </w:tc>
      </w:tr>
      <w:tr>
        <w:trPr>
          <w:cantSplit w:val="true"/>
        </w:trPr>
        <w:tc>
          <w:tcPr>
            <w:tcW w:type="dxa" w:w="567"/>
            <w:vAlign w:val="top"/>
          </w:tcPr>
          <w:p>
            <w:pPr>
              <w:spacing w:after="0" w:before="0"/>
            </w:pPr>
            <w:r/>
            <w:r>
              <w:rPr>
                <w:b w:val="0"/>
                <w:i w:val="0"/>
                <w:sz w:val="17"/>
              </w:rPr>
              <w:t>1</w:t>
            </w:r>
          </w:p>
        </w:tc>
        <w:tc>
          <w:tcPr>
            <w:tcW w:type="dxa" w:w="2494"/>
            <w:vAlign w:val="top"/>
          </w:tcPr>
          <w:p>
            <w:pPr>
              <w:spacing w:after="0" w:before="0"/>
            </w:pPr>
            <w:r/>
            <w:r>
              <w:rPr>
                <w:b/>
                <w:i w:val="0"/>
                <w:color w:val="0F2A3D"/>
                <w:sz w:val="17"/>
              </w:rPr>
              <w:t>Lee et al., Frequency-aware token reduction (NeurIPS 2025)</w:t>
            </w:r>
          </w:p>
        </w:tc>
        <w:tc>
          <w:tcPr>
            <w:tcW w:type="dxa" w:w="3175"/>
            <w:vAlign w:val="top"/>
          </w:tcPr>
          <w:p>
            <w:pPr>
              <w:spacing w:after="0" w:before="0"/>
            </w:pPr>
            <w:r/>
            <w:r>
              <w:rPr>
                <w:b w:val="0"/>
                <w:i w:val="0"/>
                <w:sz w:val="17"/>
              </w:rPr>
              <w:t>Token pruning and merging that accounts for the frequency characteristics of self-attention (for example rank collapsing) instead of attention scores alone.</w:t>
            </w:r>
          </w:p>
        </w:tc>
        <w:tc>
          <w:tcPr>
            <w:tcW w:type="dxa" w:w="2041"/>
            <w:vAlign w:val="top"/>
          </w:tcPr>
          <w:p>
            <w:pPr>
              <w:spacing w:after="0" w:before="0"/>
            </w:pPr>
            <w:r/>
            <w:r>
              <w:rPr>
                <w:b w:val="0"/>
                <w:i w:val="0"/>
                <w:sz w:val="17"/>
              </w:rPr>
              <w:t>Efficient ViT inference; token reduction.</w:t>
            </w:r>
          </w:p>
        </w:tc>
        <w:tc>
          <w:tcPr>
            <w:tcW w:type="dxa" w:w="2948"/>
            <w:vAlign w:val="top"/>
          </w:tcPr>
          <w:p>
            <w:pPr>
              <w:spacing w:after="0" w:before="0"/>
            </w:pPr>
            <w:r/>
            <w:r>
              <w:rPr>
                <w:b w:val="0"/>
                <w:i w:val="0"/>
                <w:sz w:val="17"/>
              </w:rPr>
              <w:t>Argues that ignoring the frequency behaviour of attention limits existing token-reduction methods.</w:t>
            </w:r>
          </w:p>
        </w:tc>
        <w:tc>
          <w:tcPr>
            <w:tcW w:type="dxa" w:w="3912"/>
            <w:vAlign w:val="top"/>
          </w:tcPr>
          <w:p>
            <w:pPr>
              <w:spacing w:after="0" w:before="0"/>
            </w:pPr>
            <w:r/>
            <w:r>
              <w:rPr>
                <w:b w:val="0"/>
                <w:i w:val="0"/>
                <w:sz w:val="17"/>
              </w:rPr>
              <w:t>Reduces tokens for efficiency on existing ViTs. It does not test whether learned grouping adds representation value beyond an equal-capacity control, nor the from-scratch small-image regime.</w:t>
            </w:r>
          </w:p>
        </w:tc>
      </w:tr>
      <w:tr>
        <w:trPr>
          <w:cantSplit w:val="true"/>
        </w:trPr>
        <w:tc>
          <w:tcPr>
            <w:tcW w:type="dxa" w:w="567"/>
            <w:vAlign w:val="top"/>
            <w:shd w:val="clear" w:color="auto" w:fill="F5F9FA"/>
          </w:tcPr>
          <w:p>
            <w:pPr>
              <w:spacing w:after="0" w:before="0"/>
            </w:pPr>
            <w:r/>
            <w:r>
              <w:rPr>
                <w:b w:val="0"/>
                <w:i w:val="0"/>
                <w:sz w:val="17"/>
              </w:rPr>
              <w:t>2</w:t>
            </w:r>
          </w:p>
        </w:tc>
        <w:tc>
          <w:tcPr>
            <w:tcW w:type="dxa" w:w="2494"/>
            <w:vAlign w:val="top"/>
            <w:shd w:val="clear" w:color="auto" w:fill="F5F9FA"/>
          </w:tcPr>
          <w:p>
            <w:pPr>
              <w:spacing w:after="0" w:before="0"/>
            </w:pPr>
            <w:r/>
            <w:r>
              <w:rPr>
                <w:b/>
                <w:i w:val="0"/>
                <w:color w:val="0F2A3D"/>
                <w:sz w:val="17"/>
              </w:rPr>
              <w:t>Xie et al., Saliency-driven token merging (CVPR 2026)</w:t>
            </w:r>
          </w:p>
        </w:tc>
        <w:tc>
          <w:tcPr>
            <w:tcW w:type="dxa" w:w="3175"/>
            <w:vAlign w:val="top"/>
            <w:shd w:val="clear" w:color="auto" w:fill="F5F9FA"/>
          </w:tcPr>
          <w:p>
            <w:pPr>
              <w:spacing w:after="0" w:before="0"/>
            </w:pPr>
            <w:r/>
            <w:r>
              <w:rPr>
                <w:b w:val="0"/>
                <w:i w:val="0"/>
                <w:sz w:val="17"/>
              </w:rPr>
              <w:t>Training-free merging that combines dynamic attention scores with offline visual saliency, merging 'saliency outlier' tokens.</w:t>
            </w:r>
          </w:p>
        </w:tc>
        <w:tc>
          <w:tcPr>
            <w:tcW w:type="dxa" w:w="2041"/>
            <w:vAlign w:val="top"/>
            <w:shd w:val="clear" w:color="auto" w:fill="F5F9FA"/>
          </w:tcPr>
          <w:p>
            <w:pPr>
              <w:spacing w:after="0" w:before="0"/>
            </w:pPr>
            <w:r/>
            <w:r>
              <w:rPr>
                <w:b w:val="0"/>
                <w:i w:val="0"/>
                <w:sz w:val="17"/>
              </w:rPr>
              <w:t>Inference acceleration of ViTs.</w:t>
            </w:r>
          </w:p>
        </w:tc>
        <w:tc>
          <w:tcPr>
            <w:tcW w:type="dxa" w:w="2948"/>
            <w:vAlign w:val="top"/>
            <w:shd w:val="clear" w:color="auto" w:fill="F5F9FA"/>
          </w:tcPr>
          <w:p>
            <w:pPr>
              <w:spacing w:after="0" w:before="0"/>
            </w:pPr>
            <w:r/>
            <w:r>
              <w:rPr>
                <w:b w:val="0"/>
                <w:i w:val="0"/>
                <w:sz w:val="17"/>
              </w:rPr>
              <w:t>Claims better merging decisions than methods that use attention characteristics alone.</w:t>
            </w:r>
          </w:p>
        </w:tc>
        <w:tc>
          <w:tcPr>
            <w:tcW w:type="dxa" w:w="3912"/>
            <w:vAlign w:val="top"/>
            <w:shd w:val="clear" w:color="auto" w:fill="F5F9FA"/>
          </w:tcPr>
          <w:p>
            <w:pPr>
              <w:spacing w:after="0" w:before="0"/>
            </w:pPr>
            <w:r/>
            <w:r>
              <w:rPr>
                <w:b w:val="0"/>
                <w:i w:val="0"/>
                <w:sz w:val="17"/>
              </w:rPr>
              <w:t>Training-free and inference-time: nothing is learned about grouping, so it says nothing about grouping as a trained representation component.</w:t>
            </w:r>
          </w:p>
        </w:tc>
      </w:tr>
      <w:tr>
        <w:trPr>
          <w:cantSplit w:val="true"/>
        </w:trPr>
        <w:tc>
          <w:tcPr>
            <w:tcW w:type="dxa" w:w="567"/>
            <w:vAlign w:val="top"/>
          </w:tcPr>
          <w:p>
            <w:pPr>
              <w:spacing w:after="0" w:before="0"/>
            </w:pPr>
            <w:r/>
            <w:r>
              <w:rPr>
                <w:b w:val="0"/>
                <w:i w:val="0"/>
                <w:sz w:val="17"/>
              </w:rPr>
              <w:t>3</w:t>
            </w:r>
          </w:p>
        </w:tc>
        <w:tc>
          <w:tcPr>
            <w:tcW w:type="dxa" w:w="2494"/>
            <w:vAlign w:val="top"/>
          </w:tcPr>
          <w:p>
            <w:pPr>
              <w:spacing w:after="0" w:before="0"/>
            </w:pPr>
            <w:r/>
            <w:r>
              <w:rPr>
                <w:b/>
                <w:i w:val="0"/>
                <w:color w:val="0F2A3D"/>
                <w:sz w:val="17"/>
              </w:rPr>
              <w:t>Zhou et al., Calibrated scaling for token merging (ICML 2026)</w:t>
            </w:r>
          </w:p>
        </w:tc>
        <w:tc>
          <w:tcPr>
            <w:tcW w:type="dxa" w:w="3175"/>
            <w:vAlign w:val="top"/>
          </w:tcPr>
          <w:p>
            <w:pPr>
              <w:spacing w:after="0" w:before="0"/>
            </w:pPr>
            <w:r/>
            <w:r>
              <w:rPr>
                <w:b w:val="0"/>
                <w:i w:val="0"/>
                <w:sz w:val="17"/>
              </w:rPr>
              <w:t>Shows that merging distorts attention outputs and shifts residual-stream statistics, and proposes statistically calibrated scaling to correct it.</w:t>
            </w:r>
          </w:p>
        </w:tc>
        <w:tc>
          <w:tcPr>
            <w:tcW w:type="dxa" w:w="2041"/>
            <w:vAlign w:val="top"/>
          </w:tcPr>
          <w:p>
            <w:pPr>
              <w:spacing w:after="0" w:before="0"/>
            </w:pPr>
            <w:r/>
            <w:r>
              <w:rPr>
                <w:b w:val="0"/>
                <w:i w:val="0"/>
                <w:sz w:val="17"/>
              </w:rPr>
              <w:t>Transformers under aggressive merging ratios.</w:t>
            </w:r>
          </w:p>
        </w:tc>
        <w:tc>
          <w:tcPr>
            <w:tcW w:type="dxa" w:w="2948"/>
            <w:vAlign w:val="top"/>
          </w:tcPr>
          <w:p>
            <w:pPr>
              <w:spacing w:after="0" w:before="0"/>
            </w:pPr>
            <w:r/>
            <w:r>
              <w:rPr>
                <w:b w:val="0"/>
                <w:i w:val="0"/>
                <w:sz w:val="17"/>
              </w:rPr>
              <w:t>Existing heuristics such as proportional attention degrade sharply at high compression; calibration targets that regime.</w:t>
            </w:r>
          </w:p>
        </w:tc>
        <w:tc>
          <w:tcPr>
            <w:tcW w:type="dxa" w:w="3912"/>
            <w:vAlign w:val="top"/>
          </w:tcPr>
          <w:p>
            <w:pPr>
              <w:spacing w:after="0" w:before="0"/>
            </w:pPr>
            <w:r/>
            <w:r>
              <w:rPr>
                <w:b w:val="0"/>
                <w:i w:val="0"/>
                <w:sz w:val="17"/>
              </w:rPr>
              <w:t>Documents the failure mode of merging at high compression. Our design keeps the full micro stream and adds macro tokens, a different trade-off that is not compared.</w:t>
            </w:r>
          </w:p>
        </w:tc>
      </w:tr>
      <w:tr>
        <w:trPr>
          <w:cantSplit w:val="true"/>
        </w:trPr>
        <w:tc>
          <w:tcPr>
            <w:tcW w:type="dxa" w:w="567"/>
            <w:vAlign w:val="top"/>
            <w:shd w:val="clear" w:color="auto" w:fill="F5F9FA"/>
          </w:tcPr>
          <w:p>
            <w:pPr>
              <w:spacing w:after="0" w:before="0"/>
            </w:pPr>
            <w:r/>
            <w:r>
              <w:rPr>
                <w:b w:val="0"/>
                <w:i w:val="0"/>
                <w:sz w:val="17"/>
              </w:rPr>
              <w:t>4</w:t>
            </w:r>
          </w:p>
        </w:tc>
        <w:tc>
          <w:tcPr>
            <w:tcW w:type="dxa" w:w="2494"/>
            <w:vAlign w:val="top"/>
            <w:shd w:val="clear" w:color="auto" w:fill="F5F9FA"/>
          </w:tcPr>
          <w:p>
            <w:pPr>
              <w:spacing w:after="0" w:before="0"/>
            </w:pPr>
            <w:r/>
            <w:r>
              <w:rPr>
                <w:b/>
                <w:i w:val="0"/>
                <w:color w:val="0F2A3D"/>
                <w:sz w:val="17"/>
              </w:rPr>
              <w:t>Schlesinger et al., SPOT (CVPR 2026 Findings)</w:t>
            </w:r>
          </w:p>
        </w:tc>
        <w:tc>
          <w:tcPr>
            <w:tcW w:type="dxa" w:w="3175"/>
            <w:vAlign w:val="top"/>
            <w:shd w:val="clear" w:color="auto" w:fill="F5F9FA"/>
          </w:tcPr>
          <w:p>
            <w:pPr>
              <w:spacing w:after="0" w:before="0"/>
            </w:pPr>
            <w:r/>
            <w:r>
              <w:rPr>
                <w:b w:val="0"/>
                <w:i w:val="0"/>
                <w:sz w:val="17"/>
              </w:rPr>
              <w:t>Lightweight plug-and-play framework that uses compact attention representations to prune redundant tokens before attention is computed.</w:t>
            </w:r>
          </w:p>
        </w:tc>
        <w:tc>
          <w:tcPr>
            <w:tcW w:type="dxa" w:w="2041"/>
            <w:vAlign w:val="top"/>
            <w:shd w:val="clear" w:color="auto" w:fill="F5F9FA"/>
          </w:tcPr>
          <w:p>
            <w:pPr>
              <w:spacing w:after="0" w:before="0"/>
            </w:pPr>
            <w:r/>
            <w:r>
              <w:rPr>
                <w:b w:val="0"/>
                <w:i w:val="0"/>
                <w:sz w:val="17"/>
              </w:rPr>
              <w:t>Pretrained ViTs; quadratic attention cost.</w:t>
            </w:r>
          </w:p>
        </w:tc>
        <w:tc>
          <w:tcPr>
            <w:tcW w:type="dxa" w:w="2948"/>
            <w:vAlign w:val="top"/>
            <w:shd w:val="clear" w:color="auto" w:fill="F5F9FA"/>
          </w:tcPr>
          <w:p>
            <w:pPr>
              <w:spacing w:after="0" w:before="0"/>
            </w:pPr>
            <w:r/>
            <w:r>
              <w:rPr>
                <w:b w:val="0"/>
                <w:i w:val="0"/>
                <w:sz w:val="17"/>
              </w:rPr>
              <w:t>Early detection of less salient tokens reduces computation.</w:t>
            </w:r>
          </w:p>
        </w:tc>
        <w:tc>
          <w:tcPr>
            <w:tcW w:type="dxa" w:w="3912"/>
            <w:vAlign w:val="top"/>
            <w:shd w:val="clear" w:color="auto" w:fill="F5F9FA"/>
          </w:tcPr>
          <w:p>
            <w:pPr>
              <w:spacing w:after="0" w:before="0"/>
            </w:pPr>
            <w:r/>
            <w:r>
              <w:rPr>
                <w:b w:val="0"/>
                <w:i w:val="0"/>
                <w:sz w:val="17"/>
              </w:rPr>
              <w:t>Pruning discards tokens irreversibly and is aimed at inference cost, not at the question of what learned grouping represents.</w:t>
            </w:r>
          </w:p>
        </w:tc>
      </w:tr>
      <w:tr>
        <w:trPr>
          <w:cantSplit w:val="true"/>
        </w:trPr>
        <w:tc>
          <w:tcPr>
            <w:tcW w:type="dxa" w:w="567"/>
            <w:vAlign w:val="top"/>
          </w:tcPr>
          <w:p>
            <w:pPr>
              <w:spacing w:after="0" w:before="0"/>
            </w:pPr>
            <w:r/>
            <w:r>
              <w:rPr>
                <w:b w:val="0"/>
                <w:i w:val="0"/>
                <w:sz w:val="17"/>
              </w:rPr>
              <w:t>5</w:t>
            </w:r>
          </w:p>
        </w:tc>
        <w:tc>
          <w:tcPr>
            <w:tcW w:type="dxa" w:w="2494"/>
            <w:vAlign w:val="top"/>
          </w:tcPr>
          <w:p>
            <w:pPr>
              <w:spacing w:after="0" w:before="0"/>
            </w:pPr>
            <w:r/>
            <w:r>
              <w:rPr>
                <w:b/>
                <w:i w:val="0"/>
                <w:color w:val="0F2A3D"/>
                <w:sz w:val="17"/>
              </w:rPr>
              <w:t>Wang &amp; Yang, LTM-Transformer (IEEE TPAMI 2025)</w:t>
            </w:r>
          </w:p>
        </w:tc>
        <w:tc>
          <w:tcPr>
            <w:tcW w:type="dxa" w:w="3175"/>
            <w:vAlign w:val="top"/>
          </w:tcPr>
          <w:p>
            <w:pPr>
              <w:spacing w:after="0" w:before="0"/>
            </w:pPr>
            <w:r/>
            <w:r>
              <w:rPr>
                <w:b w:val="0"/>
                <w:i w:val="0"/>
                <w:sz w:val="17"/>
              </w:rPr>
              <w:t>Learnable Token Merging (LTM): learned merging of redundant tokens, guided by an information-bottleneck objective.</w:t>
            </w:r>
          </w:p>
        </w:tc>
        <w:tc>
          <w:tcPr>
            <w:tcW w:type="dxa" w:w="2041"/>
            <w:vAlign w:val="top"/>
          </w:tcPr>
          <w:p>
            <w:pPr>
              <w:spacing w:after="0" w:before="0"/>
            </w:pPr>
            <w:r/>
            <w:r>
              <w:rPr>
                <w:b w:val="0"/>
                <w:i w:val="0"/>
                <w:sz w:val="17"/>
              </w:rPr>
              <w:t>ViT acceleration; edge deployment.</w:t>
            </w:r>
          </w:p>
        </w:tc>
        <w:tc>
          <w:tcPr>
            <w:tcW w:type="dxa" w:w="2948"/>
            <w:vAlign w:val="top"/>
          </w:tcPr>
          <w:p>
            <w:pPr>
              <w:spacing w:after="0" w:before="0"/>
            </w:pPr>
            <w:r/>
            <w:r>
              <w:rPr>
                <w:b w:val="0"/>
                <w:i w:val="0"/>
                <w:sz w:val="17"/>
              </w:rPr>
              <w:t>Learned merging improves the accuracy-efficiency trade-off over fixed merging rules.</w:t>
            </w:r>
          </w:p>
        </w:tc>
        <w:tc>
          <w:tcPr>
            <w:tcW w:type="dxa" w:w="3912"/>
            <w:vAlign w:val="top"/>
          </w:tcPr>
          <w:p>
            <w:pPr>
              <w:spacing w:after="0" w:before="0"/>
            </w:pPr>
            <w:r/>
            <w:r>
              <w:rPr>
                <w:b w:val="0"/>
                <w:i w:val="0"/>
                <w:sz w:val="17"/>
              </w:rPr>
              <w:t>Closest learned-merging baseline, but we found no usable public implementation: two re-implementation attempts (about 100 GPU-hours) diverged, so it remains an unverified baseline.</w:t>
            </w:r>
          </w:p>
        </w:tc>
      </w:tr>
      <w:tr>
        <w:trPr>
          <w:cantSplit w:val="true"/>
        </w:trPr>
        <w:tc>
          <w:tcPr>
            <w:tcW w:type="dxa" w:w="3912"/>
            <w:gridSpan w:val="6"/>
            <w:vAlign w:val="center"/>
            <w:shd w:val="clear" w:color="auto" w:fill="D3E3E9"/>
          </w:tcPr>
          <w:p>
            <w:pPr>
              <w:keepNext/>
              <w:spacing w:after="0" w:before="0"/>
            </w:pPr>
            <w:r/>
            <w:r>
              <w:rPr>
                <w:b/>
                <w:i w:val="0"/>
                <w:color w:val="0F2A3D"/>
                <w:sz w:val="17"/>
              </w:rPr>
              <w:t>HIERARCHICAL AND ADAPTIVE TOKENIZATION</w:t>
            </w:r>
          </w:p>
        </w:tc>
      </w:tr>
      <w:tr>
        <w:trPr>
          <w:cantSplit w:val="true"/>
        </w:trPr>
        <w:tc>
          <w:tcPr>
            <w:tcW w:type="dxa" w:w="567"/>
            <w:vAlign w:val="top"/>
            <w:shd w:val="clear" w:color="auto" w:fill="F5F9FA"/>
          </w:tcPr>
          <w:p>
            <w:pPr>
              <w:spacing w:after="0" w:before="0"/>
            </w:pPr>
            <w:r/>
            <w:r>
              <w:rPr>
                <w:b w:val="0"/>
                <w:i w:val="0"/>
                <w:sz w:val="17"/>
              </w:rPr>
              <w:t>6</w:t>
            </w:r>
          </w:p>
        </w:tc>
        <w:tc>
          <w:tcPr>
            <w:tcW w:type="dxa" w:w="2494"/>
            <w:vAlign w:val="top"/>
            <w:shd w:val="clear" w:color="auto" w:fill="F5F9FA"/>
          </w:tcPr>
          <w:p>
            <w:pPr>
              <w:spacing w:after="0" w:before="0"/>
            </w:pPr>
            <w:r/>
            <w:r>
              <w:rPr>
                <w:b/>
                <w:i w:val="0"/>
                <w:color w:val="0F2A3D"/>
                <w:sz w:val="17"/>
              </w:rPr>
              <w:t>Yu et al., Stepwise patch merging (IJCAI 2025)</w:t>
            </w:r>
          </w:p>
        </w:tc>
        <w:tc>
          <w:tcPr>
            <w:tcW w:type="dxa" w:w="3175"/>
            <w:vAlign w:val="top"/>
            <w:shd w:val="clear" w:color="auto" w:fill="F5F9FA"/>
          </w:tcPr>
          <w:p>
            <w:pPr>
              <w:spacing w:after="0" w:before="0"/>
            </w:pPr>
            <w:r/>
            <w:r>
              <w:rPr>
                <w:b w:val="0"/>
                <w:i w:val="0"/>
                <w:sz w:val="17"/>
              </w:rPr>
              <w:t>Replaces the rigid fixed-grid down-sampling (for example strided convolution) of hierarchical ViTs with a brain-inspired, stepwise patch-merging scheme.</w:t>
            </w:r>
          </w:p>
        </w:tc>
        <w:tc>
          <w:tcPr>
            <w:tcW w:type="dxa" w:w="2041"/>
            <w:vAlign w:val="top"/>
            <w:shd w:val="clear" w:color="auto" w:fill="F5F9FA"/>
          </w:tcPr>
          <w:p>
            <w:pPr>
              <w:spacing w:after="0" w:before="0"/>
            </w:pPr>
            <w:r/>
            <w:r>
              <w:rPr>
                <w:b w:val="0"/>
                <w:i w:val="0"/>
                <w:sz w:val="17"/>
              </w:rPr>
              <w:t>Hierarchical vision transformers.</w:t>
            </w:r>
          </w:p>
        </w:tc>
        <w:tc>
          <w:tcPr>
            <w:tcW w:type="dxa" w:w="2948"/>
            <w:vAlign w:val="top"/>
            <w:shd w:val="clear" w:color="auto" w:fill="F5F9FA"/>
          </w:tcPr>
          <w:p>
            <w:pPr>
              <w:spacing w:after="0" w:before="0"/>
            </w:pPr>
            <w:r/>
            <w:r>
              <w:rPr>
                <w:b w:val="0"/>
                <w:i w:val="0"/>
                <w:sz w:val="17"/>
              </w:rPr>
              <w:t>Argues that fixed-grid merging treats all pixels equally and misses multi-scale structure.</w:t>
            </w:r>
          </w:p>
        </w:tc>
        <w:tc>
          <w:tcPr>
            <w:tcW w:type="dxa" w:w="3912"/>
            <w:vAlign w:val="top"/>
            <w:shd w:val="clear" w:color="auto" w:fill="F5F9FA"/>
          </w:tcPr>
          <w:p>
            <w:pPr>
              <w:spacing w:after="0" w:before="0"/>
            </w:pPr>
            <w:r/>
            <w:r>
              <w:rPr>
                <w:b w:val="0"/>
                <w:i w:val="0"/>
                <w:sz w:val="17"/>
              </w:rPr>
              <w:t>Still a designed merging schedule rather than content-driven grouping; a relevant member of the Swin-style comparator family for RO2.</w:t>
            </w:r>
          </w:p>
        </w:tc>
      </w:tr>
      <w:tr>
        <w:trPr>
          <w:cantSplit w:val="true"/>
        </w:trPr>
        <w:tc>
          <w:tcPr>
            <w:tcW w:type="dxa" w:w="567"/>
            <w:vAlign w:val="top"/>
          </w:tcPr>
          <w:p>
            <w:pPr>
              <w:spacing w:after="0" w:before="0"/>
            </w:pPr>
            <w:r/>
            <w:r>
              <w:rPr>
                <w:b w:val="0"/>
                <w:i w:val="0"/>
                <w:sz w:val="17"/>
              </w:rPr>
              <w:t>7</w:t>
            </w:r>
          </w:p>
        </w:tc>
        <w:tc>
          <w:tcPr>
            <w:tcW w:type="dxa" w:w="2494"/>
            <w:vAlign w:val="top"/>
          </w:tcPr>
          <w:p>
            <w:pPr>
              <w:spacing w:after="0" w:before="0"/>
            </w:pPr>
            <w:r/>
            <w:r>
              <w:rPr>
                <w:b/>
                <w:i w:val="0"/>
                <w:color w:val="0F2A3D"/>
                <w:sz w:val="17"/>
              </w:rPr>
              <w:t>Yin et al., DART (arXiv 2025)</w:t>
            </w:r>
          </w:p>
        </w:tc>
        <w:tc>
          <w:tcPr>
            <w:tcW w:type="dxa" w:w="3175"/>
            <w:vAlign w:val="top"/>
          </w:tcPr>
          <w:p>
            <w:pPr>
              <w:spacing w:after="0" w:before="0"/>
            </w:pPr>
            <w:r/>
            <w:r>
              <w:rPr>
                <w:b w:val="0"/>
                <w:i w:val="0"/>
                <w:sz w:val="17"/>
              </w:rPr>
              <w:t>Fully differentiable tokenizer that forms dynamic, content-adaptive regions in place of the fixed-grid tokenizer of ViT and Vision Mamba.</w:t>
            </w:r>
          </w:p>
        </w:tc>
        <w:tc>
          <w:tcPr>
            <w:tcW w:type="dxa" w:w="2041"/>
            <w:vAlign w:val="top"/>
          </w:tcPr>
          <w:p>
            <w:pPr>
              <w:spacing w:after="0" w:before="0"/>
            </w:pPr>
            <w:r/>
            <w:r>
              <w:rPr>
                <w:b w:val="0"/>
                <w:i w:val="0"/>
                <w:sz w:val="17"/>
              </w:rPr>
              <w:t>ViT and Vim backbones.</w:t>
            </w:r>
          </w:p>
        </w:tc>
        <w:tc>
          <w:tcPr>
            <w:tcW w:type="dxa" w:w="2948"/>
            <w:vAlign w:val="top"/>
          </w:tcPr>
          <w:p>
            <w:pPr>
              <w:spacing w:after="0" w:before="0"/>
            </w:pPr>
            <w:r/>
            <w:r>
              <w:rPr>
                <w:b w:val="0"/>
                <w:i w:val="0"/>
                <w:sz w:val="17"/>
              </w:rPr>
              <w:t>Argues fixed-grid tokenizers force a trade-off between fine detail and redundant computation.</w:t>
            </w:r>
          </w:p>
        </w:tc>
        <w:tc>
          <w:tcPr>
            <w:tcW w:type="dxa" w:w="3912"/>
            <w:vAlign w:val="top"/>
          </w:tcPr>
          <w:p>
            <w:pPr>
              <w:spacing w:after="0" w:before="0"/>
            </w:pPr>
            <w:r/>
            <w:r>
              <w:rPr>
                <w:b w:val="0"/>
                <w:i w:val="0"/>
                <w:sz w:val="17"/>
              </w:rPr>
              <w:t>Adapts tokenization at the input; our branch groups tokens mid-network. Neither has been compared under matched capacity and per-arm tuning.</w:t>
            </w:r>
          </w:p>
        </w:tc>
      </w:tr>
      <w:tr>
        <w:trPr>
          <w:cantSplit w:val="true"/>
        </w:trPr>
        <w:tc>
          <w:tcPr>
            <w:tcW w:type="dxa" w:w="567"/>
            <w:vAlign w:val="top"/>
            <w:shd w:val="clear" w:color="auto" w:fill="F5F9FA"/>
          </w:tcPr>
          <w:p>
            <w:pPr>
              <w:spacing w:after="0" w:before="0"/>
            </w:pPr>
            <w:r/>
            <w:r>
              <w:rPr>
                <w:b w:val="0"/>
                <w:i w:val="0"/>
                <w:sz w:val="17"/>
              </w:rPr>
              <w:t>8</w:t>
            </w:r>
          </w:p>
        </w:tc>
        <w:tc>
          <w:tcPr>
            <w:tcW w:type="dxa" w:w="2494"/>
            <w:vAlign w:val="top"/>
            <w:shd w:val="clear" w:color="auto" w:fill="F5F9FA"/>
          </w:tcPr>
          <w:p>
            <w:pPr>
              <w:spacing w:after="0" w:before="0"/>
            </w:pPr>
            <w:r/>
            <w:r>
              <w:rPr>
                <w:b/>
                <w:i w:val="0"/>
                <w:color w:val="0F2A3D"/>
                <w:sz w:val="17"/>
              </w:rPr>
              <w:t>Duggal et al., Adaptive-length tokenization (ICLR 2025)</w:t>
            </w:r>
          </w:p>
        </w:tc>
        <w:tc>
          <w:tcPr>
            <w:tcW w:type="dxa" w:w="3175"/>
            <w:vAlign w:val="top"/>
            <w:shd w:val="clear" w:color="auto" w:fill="F5F9FA"/>
          </w:tcPr>
          <w:p>
            <w:pPr>
              <w:spacing w:after="0" w:before="0"/>
            </w:pPr>
            <w:r/>
            <w:r>
              <w:rPr>
                <w:b w:val="0"/>
                <w:i w:val="0"/>
                <w:sz w:val="17"/>
              </w:rPr>
              <w:t>Learns variable-length token representations for 2D images, allocating more tokens to higher-entropy content.</w:t>
            </w:r>
          </w:p>
        </w:tc>
        <w:tc>
          <w:tcPr>
            <w:tcW w:type="dxa" w:w="2041"/>
            <w:vAlign w:val="top"/>
            <w:shd w:val="clear" w:color="auto" w:fill="F5F9FA"/>
          </w:tcPr>
          <w:p>
            <w:pPr>
              <w:spacing w:after="0" w:before="0"/>
            </w:pPr>
            <w:r/>
            <w:r>
              <w:rPr>
                <w:b w:val="0"/>
                <w:i w:val="0"/>
                <w:sz w:val="17"/>
              </w:rPr>
              <w:t>Image tokenization.</w:t>
            </w:r>
          </w:p>
        </w:tc>
        <w:tc>
          <w:tcPr>
            <w:tcW w:type="dxa" w:w="2948"/>
            <w:vAlign w:val="top"/>
            <w:shd w:val="clear" w:color="auto" w:fill="F5F9FA"/>
          </w:tcPr>
          <w:p>
            <w:pPr>
              <w:spacing w:after="0" w:before="0"/>
            </w:pPr>
            <w:r/>
            <w:r>
              <w:rPr>
                <w:b w:val="0"/>
                <w:i w:val="0"/>
                <w:sz w:val="17"/>
              </w:rPr>
              <w:t>Shows that token count can follow image complexity instead of being fixed.</w:t>
            </w:r>
          </w:p>
        </w:tc>
        <w:tc>
          <w:tcPr>
            <w:tcW w:type="dxa" w:w="3912"/>
            <w:vAlign w:val="top"/>
            <w:shd w:val="clear" w:color="auto" w:fill="F5F9FA"/>
          </w:tcPr>
          <w:p>
            <w:pPr>
              <w:spacing w:after="0" w:before="0"/>
            </w:pPr>
            <w:r/>
            <w:r>
              <w:rPr>
                <w:b w:val="0"/>
                <w:i w:val="0"/>
                <w:sz w:val="17"/>
              </w:rPr>
              <w:t>Motivates content-dependent granularity, but in a tokenizer setting; our minor project's 'dynamic K' claim failed verification, so this question is open for classifiers.</w:t>
            </w:r>
          </w:p>
        </w:tc>
      </w:tr>
      <w:tr>
        <w:trPr>
          <w:cantSplit w:val="true"/>
        </w:trPr>
        <w:tc>
          <w:tcPr>
            <w:tcW w:type="dxa" w:w="567"/>
            <w:vAlign w:val="top"/>
          </w:tcPr>
          <w:p>
            <w:pPr>
              <w:spacing w:after="0" w:before="0"/>
            </w:pPr>
            <w:r/>
            <w:r>
              <w:rPr>
                <w:b w:val="0"/>
                <w:i w:val="0"/>
                <w:sz w:val="17"/>
              </w:rPr>
              <w:t>9</w:t>
            </w:r>
          </w:p>
        </w:tc>
        <w:tc>
          <w:tcPr>
            <w:tcW w:type="dxa" w:w="2494"/>
            <w:vAlign w:val="top"/>
          </w:tcPr>
          <w:p>
            <w:pPr>
              <w:spacing w:after="0" w:before="0"/>
            </w:pPr>
            <w:r/>
            <w:r>
              <w:rPr>
                <w:b/>
                <w:i w:val="0"/>
                <w:color w:val="0F2A3D"/>
                <w:sz w:val="17"/>
              </w:rPr>
              <w:t>Khadka et al., CoSwin (arXiv 2025)</w:t>
            </w:r>
          </w:p>
        </w:tc>
        <w:tc>
          <w:tcPr>
            <w:tcW w:type="dxa" w:w="3175"/>
            <w:vAlign w:val="top"/>
          </w:tcPr>
          <w:p>
            <w:pPr>
              <w:spacing w:after="0" w:before="0"/>
            </w:pPr>
            <w:r/>
            <w:r>
              <w:rPr>
                <w:b w:val="0"/>
                <w:i w:val="0"/>
                <w:sz w:val="17"/>
              </w:rPr>
              <w:t>Adds convolutional locality to a hierarchical shifted-window ViT for small datasets.</w:t>
            </w:r>
          </w:p>
        </w:tc>
        <w:tc>
          <w:tcPr>
            <w:tcW w:type="dxa" w:w="2041"/>
            <w:vAlign w:val="top"/>
          </w:tcPr>
          <w:p>
            <w:pPr>
              <w:spacing w:after="0" w:before="0"/>
            </w:pPr>
            <w:r/>
            <w:r>
              <w:rPr>
                <w:b w:val="0"/>
                <w:i w:val="0"/>
                <w:sz w:val="17"/>
              </w:rPr>
              <w:t>Small-scale vision data sets.</w:t>
            </w:r>
          </w:p>
        </w:tc>
        <w:tc>
          <w:tcPr>
            <w:tcW w:type="dxa" w:w="2948"/>
            <w:vAlign w:val="top"/>
          </w:tcPr>
          <w:p>
            <w:pPr>
              <w:spacing w:after="0" w:before="0"/>
            </w:pPr>
            <w:r/>
            <w:r>
              <w:rPr>
                <w:b w:val="0"/>
                <w:i w:val="0"/>
                <w:sz w:val="17"/>
              </w:rPr>
              <w:t>Small-data ViTs lack locality and translation equivariance; hierarchical designs need such inductive biases.</w:t>
            </w:r>
          </w:p>
        </w:tc>
        <w:tc>
          <w:tcPr>
            <w:tcW w:type="dxa" w:w="3912"/>
            <w:vAlign w:val="top"/>
          </w:tcPr>
          <w:p>
            <w:pPr>
              <w:spacing w:after="0" w:before="0"/>
            </w:pPr>
            <w:r/>
            <w:r>
              <w:rPr>
                <w:b w:val="0"/>
                <w:i w:val="0"/>
                <w:sz w:val="17"/>
              </w:rPr>
              <w:t>Same small-data regime as ours, with a hand-designed prior. It is a relevant baseline for RO2 and RO3.</w:t>
            </w:r>
          </w:p>
        </w:tc>
      </w:tr>
      <w:tr>
        <w:trPr>
          <w:cantSplit w:val="true"/>
        </w:trPr>
        <w:tc>
          <w:tcPr>
            <w:tcW w:type="dxa" w:w="3912"/>
            <w:gridSpan w:val="6"/>
            <w:vAlign w:val="center"/>
            <w:shd w:val="clear" w:color="auto" w:fill="D3E3E9"/>
          </w:tcPr>
          <w:p>
            <w:pPr>
              <w:keepNext/>
              <w:spacing w:after="0" w:before="0"/>
            </w:pPr>
            <w:r/>
            <w:r>
              <w:rPr>
                <w:b/>
                <w:i w:val="0"/>
                <w:color w:val="0F2A3D"/>
                <w:sz w:val="17"/>
              </w:rPr>
              <w:t>EXTRA TOKENS AND REGISTERS</w:t>
            </w:r>
          </w:p>
        </w:tc>
      </w:tr>
      <w:tr>
        <w:trPr>
          <w:cantSplit w:val="true"/>
        </w:trPr>
        <w:tc>
          <w:tcPr>
            <w:tcW w:type="dxa" w:w="567"/>
            <w:vAlign w:val="top"/>
            <w:shd w:val="clear" w:color="auto" w:fill="F5F9FA"/>
          </w:tcPr>
          <w:p>
            <w:pPr>
              <w:spacing w:after="0" w:before="0"/>
            </w:pPr>
            <w:r/>
            <w:r>
              <w:rPr>
                <w:b w:val="0"/>
                <w:i w:val="0"/>
                <w:sz w:val="17"/>
              </w:rPr>
              <w:t>10</w:t>
            </w:r>
          </w:p>
        </w:tc>
        <w:tc>
          <w:tcPr>
            <w:tcW w:type="dxa" w:w="2494"/>
            <w:vAlign w:val="top"/>
            <w:shd w:val="clear" w:color="auto" w:fill="F5F9FA"/>
          </w:tcPr>
          <w:p>
            <w:pPr>
              <w:spacing w:after="0" w:before="0"/>
            </w:pPr>
            <w:r/>
            <w:r>
              <w:rPr>
                <w:b/>
                <w:i w:val="0"/>
                <w:color w:val="0F2A3D"/>
                <w:sz w:val="17"/>
              </w:rPr>
              <w:t>Jiang et al., ViTs don't need trained registers (NeurIPS 2025)</w:t>
            </w:r>
          </w:p>
        </w:tc>
        <w:tc>
          <w:tcPr>
            <w:tcW w:type="dxa" w:w="3175"/>
            <w:vAlign w:val="top"/>
            <w:shd w:val="clear" w:color="auto" w:fill="F5F9FA"/>
          </w:tcPr>
          <w:p>
            <w:pPr>
              <w:spacing w:after="0" w:before="0"/>
            </w:pPr>
            <w:r/>
            <w:r>
              <w:rPr>
                <w:b w:val="0"/>
                <w:i w:val="0"/>
                <w:sz w:val="17"/>
              </w:rPr>
              <w:t>Traces high-norm outlier tokens (as in CLIP and DINOv2) to a sparse set of neurons and removes the artifact without training registers.</w:t>
            </w:r>
          </w:p>
        </w:tc>
        <w:tc>
          <w:tcPr>
            <w:tcW w:type="dxa" w:w="2041"/>
            <w:vAlign w:val="top"/>
            <w:shd w:val="clear" w:color="auto" w:fill="F5F9FA"/>
          </w:tcPr>
          <w:p>
            <w:pPr>
              <w:spacing w:after="0" w:before="0"/>
            </w:pPr>
            <w:r/>
            <w:r>
              <w:rPr>
                <w:b w:val="0"/>
                <w:i w:val="0"/>
                <w:sz w:val="17"/>
              </w:rPr>
              <w:t>Pretrained CLIP and DINOv2 models.</w:t>
            </w:r>
          </w:p>
        </w:tc>
        <w:tc>
          <w:tcPr>
            <w:tcW w:type="dxa" w:w="2948"/>
            <w:vAlign w:val="top"/>
            <w:shd w:val="clear" w:color="auto" w:fill="F5F9FA"/>
          </w:tcPr>
          <w:p>
            <w:pPr>
              <w:spacing w:after="0" w:before="0"/>
            </w:pPr>
            <w:r/>
            <w:r>
              <w:rPr>
                <w:b w:val="0"/>
                <w:i w:val="0"/>
                <w:sz w:val="17"/>
              </w:rPr>
              <w:t>Outlier tokens and noisy attention maps can be fixed at test time.</w:t>
            </w:r>
          </w:p>
        </w:tc>
        <w:tc>
          <w:tcPr>
            <w:tcW w:type="dxa" w:w="3912"/>
            <w:vAlign w:val="top"/>
            <w:shd w:val="clear" w:color="auto" w:fill="F5F9FA"/>
          </w:tcPr>
          <w:p>
            <w:pPr>
              <w:spacing w:after="0" w:before="0"/>
            </w:pPr>
            <w:r/>
            <w:r>
              <w:rPr>
                <w:b w:val="0"/>
                <w:i w:val="0"/>
                <w:sz w:val="17"/>
              </w:rPr>
              <w:t>Shows that register effects have a mechanistic explanation, so our register-style control (arm R) must be interpreted by what extra tokens do, not only by capacity.</w:t>
            </w:r>
          </w:p>
        </w:tc>
      </w:tr>
      <w:tr>
        <w:trPr>
          <w:cantSplit w:val="true"/>
        </w:trPr>
        <w:tc>
          <w:tcPr>
            <w:tcW w:type="dxa" w:w="567"/>
            <w:vAlign w:val="top"/>
          </w:tcPr>
          <w:p>
            <w:pPr>
              <w:spacing w:after="0" w:before="0"/>
            </w:pPr>
            <w:r/>
            <w:r>
              <w:rPr>
                <w:b w:val="0"/>
                <w:i w:val="0"/>
                <w:sz w:val="17"/>
              </w:rPr>
              <w:t>11</w:t>
            </w:r>
          </w:p>
        </w:tc>
        <w:tc>
          <w:tcPr>
            <w:tcW w:type="dxa" w:w="2494"/>
            <w:vAlign w:val="top"/>
          </w:tcPr>
          <w:p>
            <w:pPr>
              <w:spacing w:after="0" w:before="0"/>
            </w:pPr>
            <w:r/>
            <w:r>
              <w:rPr>
                <w:b/>
                <w:i w:val="0"/>
                <w:color w:val="0F2A3D"/>
                <w:sz w:val="17"/>
              </w:rPr>
              <w:t>Yan et al., Self-distilled registers (NeurIPS 2025)</w:t>
            </w:r>
          </w:p>
        </w:tc>
        <w:tc>
          <w:tcPr>
            <w:tcW w:type="dxa" w:w="3175"/>
            <w:vAlign w:val="top"/>
          </w:tcPr>
          <w:p>
            <w:pPr>
              <w:spacing w:after="0" w:before="0"/>
            </w:pPr>
            <w:r/>
            <w:r>
              <w:rPr>
                <w:b w:val="0"/>
                <w:i w:val="0"/>
                <w:sz w:val="17"/>
              </w:rPr>
              <w:t>Post-hoc registers: adds register tokens to pretrained ViTs through self-distillation, without full retraining.</w:t>
            </w:r>
          </w:p>
        </w:tc>
        <w:tc>
          <w:tcPr>
            <w:tcW w:type="dxa" w:w="2041"/>
            <w:vAlign w:val="top"/>
          </w:tcPr>
          <w:p>
            <w:pPr>
              <w:spacing w:after="0" w:before="0"/>
            </w:pPr>
            <w:r/>
            <w:r>
              <w:rPr>
                <w:b w:val="0"/>
                <w:i w:val="0"/>
                <w:sz w:val="17"/>
              </w:rPr>
              <w:t>Pretrained ViTs; dense prediction.</w:t>
            </w:r>
          </w:p>
        </w:tc>
        <w:tc>
          <w:tcPr>
            <w:tcW w:type="dxa" w:w="2948"/>
            <w:vAlign w:val="top"/>
          </w:tcPr>
          <w:p>
            <w:pPr>
              <w:spacing w:after="0" w:before="0"/>
            </w:pPr>
            <w:r/>
            <w:r>
              <w:rPr>
                <w:b w:val="0"/>
                <w:i w:val="0"/>
                <w:sz w:val="17"/>
              </w:rPr>
              <w:t>Artifact tokens degrade segmentation-style tasks, and registers recover performance.</w:t>
            </w:r>
          </w:p>
        </w:tc>
        <w:tc>
          <w:tcPr>
            <w:tcW w:type="dxa" w:w="3912"/>
            <w:vAlign w:val="top"/>
          </w:tcPr>
          <w:p>
            <w:pPr>
              <w:spacing w:after="0" w:before="0"/>
            </w:pPr>
            <w:r/>
            <w:r>
              <w:rPr>
                <w:b w:val="0"/>
                <w:i w:val="0"/>
                <w:sz w:val="17"/>
              </w:rPr>
              <w:t>Registers are studied in large pretrained ViTs, not in small from-scratch hierarchical models.</w:t>
            </w:r>
          </w:p>
        </w:tc>
      </w:tr>
      <w:tr>
        <w:trPr>
          <w:cantSplit w:val="true"/>
        </w:trPr>
        <w:tc>
          <w:tcPr>
            <w:tcW w:type="dxa" w:w="567"/>
            <w:vAlign w:val="top"/>
            <w:shd w:val="clear" w:color="auto" w:fill="F5F9FA"/>
          </w:tcPr>
          <w:p>
            <w:pPr>
              <w:spacing w:after="0" w:before="0"/>
            </w:pPr>
            <w:r/>
            <w:r>
              <w:rPr>
                <w:b w:val="0"/>
                <w:i w:val="0"/>
                <w:sz w:val="17"/>
              </w:rPr>
              <w:t>12</w:t>
            </w:r>
          </w:p>
        </w:tc>
        <w:tc>
          <w:tcPr>
            <w:tcW w:type="dxa" w:w="2494"/>
            <w:vAlign w:val="top"/>
            <w:shd w:val="clear" w:color="auto" w:fill="F5F9FA"/>
          </w:tcPr>
          <w:p>
            <w:pPr>
              <w:spacing w:after="0" w:before="0"/>
            </w:pPr>
            <w:r/>
            <w:r>
              <w:rPr>
                <w:b/>
                <w:i w:val="0"/>
                <w:color w:val="0F2A3D"/>
                <w:sz w:val="17"/>
              </w:rPr>
              <w:t>Lappe &amp; Giese, Register and [CLS] tokens (NeurIPS 2025)</w:t>
            </w:r>
          </w:p>
        </w:tc>
        <w:tc>
          <w:tcPr>
            <w:tcW w:type="dxa" w:w="3175"/>
            <w:vAlign w:val="top"/>
            <w:shd w:val="clear" w:color="auto" w:fill="F5F9FA"/>
          </w:tcPr>
          <w:p>
            <w:pPr>
              <w:spacing w:after="0" w:before="0"/>
            </w:pPr>
            <w:r/>
            <w:r>
              <w:rPr>
                <w:b w:val="0"/>
                <w:i w:val="0"/>
                <w:sz w:val="17"/>
              </w:rPr>
              <w:t>Analyses how register tokens or internal skip connections decouple local patch features from the global [CLS] representation.</w:t>
            </w:r>
          </w:p>
        </w:tc>
        <w:tc>
          <w:tcPr>
            <w:tcW w:type="dxa" w:w="2041"/>
            <w:vAlign w:val="top"/>
            <w:shd w:val="clear" w:color="auto" w:fill="F5F9FA"/>
          </w:tcPr>
          <w:p>
            <w:pPr>
              <w:spacing w:after="0" w:before="0"/>
            </w:pPr>
            <w:r/>
            <w:r>
              <w:rPr>
                <w:b w:val="0"/>
                <w:i w:val="0"/>
                <w:sz w:val="17"/>
              </w:rPr>
              <w:t>Large pretrained ViTs such as DINOv2.</w:t>
            </w:r>
          </w:p>
        </w:tc>
        <w:tc>
          <w:tcPr>
            <w:tcW w:type="dxa" w:w="2948"/>
            <w:vAlign w:val="top"/>
            <w:shd w:val="clear" w:color="auto" w:fill="F5F9FA"/>
          </w:tcPr>
          <w:p>
            <w:pPr>
              <w:spacing w:after="0" w:before="0"/>
            </w:pPr>
            <w:r/>
            <w:r>
              <w:rPr>
                <w:b w:val="0"/>
                <w:i w:val="0"/>
                <w:sz w:val="17"/>
              </w:rPr>
              <w:t>High-performing models rely on registers or skip connections to route global information.</w:t>
            </w:r>
          </w:p>
        </w:tc>
        <w:tc>
          <w:tcPr>
            <w:tcW w:type="dxa" w:w="3912"/>
            <w:vAlign w:val="top"/>
            <w:shd w:val="clear" w:color="auto" w:fill="F5F9FA"/>
          </w:tcPr>
          <w:p>
            <w:pPr>
              <w:spacing w:after="0" w:before="0"/>
            </w:pPr>
            <w:r/>
            <w:r>
              <w:rPr>
                <w:b w:val="0"/>
                <w:i w:val="0"/>
                <w:sz w:val="17"/>
              </w:rPr>
              <w:t>Shows extra tokens change information routing inside the model, an effect never separated from learned routing in our design.</w:t>
            </w:r>
          </w:p>
        </w:tc>
      </w:tr>
      <w:tr>
        <w:trPr>
          <w:cantSplit w:val="true"/>
        </w:trPr>
        <w:tc>
          <w:tcPr>
            <w:tcW w:type="dxa" w:w="567"/>
            <w:vAlign w:val="top"/>
          </w:tcPr>
          <w:p>
            <w:pPr>
              <w:spacing w:after="0" w:before="0"/>
            </w:pPr>
            <w:r/>
            <w:r>
              <w:rPr>
                <w:b w:val="0"/>
                <w:i w:val="0"/>
                <w:sz w:val="17"/>
              </w:rPr>
              <w:t>13</w:t>
            </w:r>
          </w:p>
        </w:tc>
        <w:tc>
          <w:tcPr>
            <w:tcW w:type="dxa" w:w="2494"/>
            <w:vAlign w:val="top"/>
          </w:tcPr>
          <w:p>
            <w:pPr>
              <w:spacing w:after="0" w:before="0"/>
            </w:pPr>
            <w:r/>
            <w:r>
              <w:rPr>
                <w:b/>
                <w:i w:val="0"/>
                <w:color w:val="0F2A3D"/>
                <w:sz w:val="17"/>
              </w:rPr>
              <w:t>Tang &amp; Qi, The extra tokens matter (ICML 2026)</w:t>
            </w:r>
          </w:p>
        </w:tc>
        <w:tc>
          <w:tcPr>
            <w:tcW w:type="dxa" w:w="3175"/>
            <w:vAlign w:val="top"/>
          </w:tcPr>
          <w:p>
            <w:pPr>
              <w:spacing w:after="0" w:before="0"/>
            </w:pPr>
            <w:r/>
            <w:r>
              <w:rPr>
                <w:b w:val="0"/>
                <w:i w:val="0"/>
                <w:sz w:val="17"/>
              </w:rPr>
              <w:t>Regularises the extra tokens of a ViT into semantically disentangled factor tokens that correspond to object parts, with no manual labels.</w:t>
            </w:r>
          </w:p>
        </w:tc>
        <w:tc>
          <w:tcPr>
            <w:tcW w:type="dxa" w:w="2041"/>
            <w:vAlign w:val="top"/>
          </w:tcPr>
          <w:p>
            <w:pPr>
              <w:spacing w:after="0" w:before="0"/>
            </w:pPr>
            <w:r/>
            <w:r>
              <w:rPr>
                <w:b w:val="0"/>
                <w:i w:val="0"/>
                <w:sz w:val="17"/>
              </w:rPr>
              <w:t>ViT representation learning.</w:t>
            </w:r>
          </w:p>
        </w:tc>
        <w:tc>
          <w:tcPr>
            <w:tcW w:type="dxa" w:w="2948"/>
            <w:vAlign w:val="top"/>
          </w:tcPr>
          <w:p>
            <w:pPr>
              <w:spacing w:after="0" w:before="0"/>
            </w:pPr>
            <w:r/>
            <w:r>
              <w:rPr>
                <w:b w:val="0"/>
                <w:i w:val="0"/>
                <w:sz w:val="17"/>
              </w:rPr>
              <w:t>Extra tokens can be given semantic structure through a geometric volume constraint.</w:t>
            </w:r>
          </w:p>
        </w:tc>
        <w:tc>
          <w:tcPr>
            <w:tcW w:type="dxa" w:w="3912"/>
            <w:vAlign w:val="top"/>
          </w:tcPr>
          <w:p>
            <w:pPr>
              <w:spacing w:after="0" w:before="0"/>
            </w:pPr>
            <w:r/>
            <w:r>
              <w:rPr>
                <w:b w:val="0"/>
                <w:i w:val="0"/>
                <w:sz w:val="17"/>
              </w:rPr>
              <w:t>Closest in spirit to slots as parts, but the tokens are not routed from patches; it has not been compared with routed grouping at matched capacity.</w:t>
            </w:r>
          </w:p>
        </w:tc>
      </w:tr>
      <w:tr>
        <w:trPr>
          <w:cantSplit w:val="true"/>
        </w:trPr>
        <w:tc>
          <w:tcPr>
            <w:tcW w:type="dxa" w:w="3912"/>
            <w:gridSpan w:val="6"/>
            <w:vAlign w:val="center"/>
            <w:shd w:val="clear" w:color="auto" w:fill="D3E3E9"/>
          </w:tcPr>
          <w:p>
            <w:pPr>
              <w:keepNext/>
              <w:spacing w:after="0" w:before="0"/>
            </w:pPr>
            <w:r/>
            <w:r>
              <w:rPr>
                <w:b/>
                <w:i w:val="0"/>
                <w:color w:val="0F2A3D"/>
                <w:sz w:val="17"/>
              </w:rPr>
              <w:t>OBJECT-CENTRIC AND SLOT-BASED LEARNING</w:t>
            </w:r>
          </w:p>
        </w:tc>
      </w:tr>
      <w:tr>
        <w:trPr>
          <w:cantSplit w:val="true"/>
        </w:trPr>
        <w:tc>
          <w:tcPr>
            <w:tcW w:type="dxa" w:w="567"/>
            <w:vAlign w:val="top"/>
            <w:shd w:val="clear" w:color="auto" w:fill="F5F9FA"/>
          </w:tcPr>
          <w:p>
            <w:pPr>
              <w:spacing w:after="0" w:before="0"/>
            </w:pPr>
            <w:r/>
            <w:r>
              <w:rPr>
                <w:b w:val="0"/>
                <w:i w:val="0"/>
                <w:sz w:val="17"/>
              </w:rPr>
              <w:t>14</w:t>
            </w:r>
          </w:p>
        </w:tc>
        <w:tc>
          <w:tcPr>
            <w:tcW w:type="dxa" w:w="2494"/>
            <w:vAlign w:val="top"/>
            <w:shd w:val="clear" w:color="auto" w:fill="F5F9FA"/>
          </w:tcPr>
          <w:p>
            <w:pPr>
              <w:spacing w:after="0" w:before="0"/>
            </w:pPr>
            <w:r/>
            <w:r>
              <w:rPr>
                <w:b/>
                <w:i w:val="0"/>
                <w:color w:val="0F2A3D"/>
                <w:sz w:val="17"/>
              </w:rPr>
              <w:t>Dukic et al., Target-encoder bootstrapping (ICLR 2025)</w:t>
            </w:r>
          </w:p>
        </w:tc>
        <w:tc>
          <w:tcPr>
            <w:tcW w:type="dxa" w:w="3175"/>
            <w:vAlign w:val="top"/>
            <w:shd w:val="clear" w:color="auto" w:fill="F5F9FA"/>
          </w:tcPr>
          <w:p>
            <w:pPr>
              <w:spacing w:after="0" w:before="0"/>
            </w:pPr>
            <w:r/>
            <w:r>
              <w:rPr>
                <w:b w:val="0"/>
                <w:i w:val="0"/>
                <w:sz w:val="17"/>
              </w:rPr>
              <w:t>Slot-attention models trained to reconstruct frozen foundation-model features; bootstraps the target encoder to lift the ceiling of frozen targets.</w:t>
            </w:r>
          </w:p>
        </w:tc>
        <w:tc>
          <w:tcPr>
            <w:tcW w:type="dxa" w:w="2041"/>
            <w:vAlign w:val="top"/>
            <w:shd w:val="clear" w:color="auto" w:fill="F5F9FA"/>
          </w:tcPr>
          <w:p>
            <w:pPr>
              <w:spacing w:after="0" w:before="0"/>
            </w:pPr>
            <w:r/>
            <w:r>
              <w:rPr>
                <w:b w:val="0"/>
                <w:i w:val="0"/>
                <w:sz w:val="17"/>
              </w:rPr>
              <w:t>Real-world object-centric benchmarks.</w:t>
            </w:r>
          </w:p>
        </w:tc>
        <w:tc>
          <w:tcPr>
            <w:tcW w:type="dxa" w:w="2948"/>
            <w:vAlign w:val="top"/>
            <w:shd w:val="clear" w:color="auto" w:fill="F5F9FA"/>
          </w:tcPr>
          <w:p>
            <w:pPr>
              <w:spacing w:after="0" w:before="0"/>
            </w:pPr>
            <w:r/>
            <w:r>
              <w:rPr>
                <w:b w:val="0"/>
                <w:i w:val="0"/>
                <w:sz w:val="17"/>
              </w:rPr>
              <w:t>Frozen reconstruction targets bound what object-centric models can reach; bootstrapping relaxes it.</w:t>
            </w:r>
          </w:p>
        </w:tc>
        <w:tc>
          <w:tcPr>
            <w:tcW w:type="dxa" w:w="3912"/>
            <w:vAlign w:val="top"/>
            <w:shd w:val="clear" w:color="auto" w:fill="F5F9FA"/>
          </w:tcPr>
          <w:p>
            <w:pPr>
              <w:spacing w:after="0" w:before="0"/>
            </w:pPr>
            <w:r/>
            <w:r>
              <w:rPr>
                <w:b w:val="0"/>
                <w:i w:val="0"/>
                <w:sz w:val="17"/>
              </w:rPr>
              <w:t>Needs a reconstruction objective and foundation-model features; it does not address grouping trained from class labels alone.</w:t>
            </w:r>
          </w:p>
        </w:tc>
      </w:tr>
      <w:tr>
        <w:trPr>
          <w:cantSplit w:val="true"/>
        </w:trPr>
        <w:tc>
          <w:tcPr>
            <w:tcW w:type="dxa" w:w="567"/>
            <w:vAlign w:val="top"/>
          </w:tcPr>
          <w:p>
            <w:pPr>
              <w:spacing w:after="0" w:before="0"/>
            </w:pPr>
            <w:r/>
            <w:r>
              <w:rPr>
                <w:b w:val="0"/>
                <w:i w:val="0"/>
                <w:sz w:val="17"/>
              </w:rPr>
              <w:t>15</w:t>
            </w:r>
          </w:p>
        </w:tc>
        <w:tc>
          <w:tcPr>
            <w:tcW w:type="dxa" w:w="2494"/>
            <w:vAlign w:val="top"/>
          </w:tcPr>
          <w:p>
            <w:pPr>
              <w:spacing w:after="0" w:before="0"/>
            </w:pPr>
            <w:r/>
            <w:r>
              <w:rPr>
                <w:b/>
                <w:i w:val="0"/>
                <w:color w:val="0F2A3D"/>
                <w:sz w:val="17"/>
              </w:rPr>
              <w:t>Singh et al., GLASS (CVPR 2025)</w:t>
            </w:r>
          </w:p>
        </w:tc>
        <w:tc>
          <w:tcPr>
            <w:tcW w:type="dxa" w:w="3175"/>
            <w:vAlign w:val="top"/>
          </w:tcPr>
          <w:p>
            <w:pPr>
              <w:spacing w:after="0" w:before="0"/>
            </w:pPr>
            <w:r/>
            <w:r>
              <w:rPr>
                <w:b w:val="0"/>
                <w:i w:val="0"/>
                <w:sz w:val="17"/>
              </w:rPr>
              <w:t>Guided latent slot diffusion for decomposing real-world images into object slots.</w:t>
            </w:r>
          </w:p>
        </w:tc>
        <w:tc>
          <w:tcPr>
            <w:tcW w:type="dxa" w:w="2041"/>
            <w:vAlign w:val="top"/>
          </w:tcPr>
          <w:p>
            <w:pPr>
              <w:spacing w:after="0" w:before="0"/>
            </w:pPr>
            <w:r/>
            <w:r>
              <w:rPr>
                <w:b w:val="0"/>
                <w:i w:val="0"/>
                <w:sz w:val="17"/>
              </w:rPr>
              <w:t>Real-world images with multiple textured objects.</w:t>
            </w:r>
          </w:p>
        </w:tc>
        <w:tc>
          <w:tcPr>
            <w:tcW w:type="dxa" w:w="2948"/>
            <w:vAlign w:val="top"/>
          </w:tcPr>
          <w:p>
            <w:pPr>
              <w:spacing w:after="0" w:before="0"/>
            </w:pPr>
            <w:r/>
            <w:r>
              <w:rPr>
                <w:b w:val="0"/>
                <w:i w:val="0"/>
                <w:sz w:val="17"/>
              </w:rPr>
              <w:t>Object-centric learning struggles on real-world data; guidance in a diffusion decoder helps.</w:t>
            </w:r>
          </w:p>
        </w:tc>
        <w:tc>
          <w:tcPr>
            <w:tcW w:type="dxa" w:w="3912"/>
            <w:vAlign w:val="top"/>
          </w:tcPr>
          <w:p>
            <w:pPr>
              <w:spacing w:after="0" w:before="0"/>
            </w:pPr>
            <w:r/>
            <w:r>
              <w:rPr>
                <w:b w:val="0"/>
                <w:i w:val="0"/>
                <w:sz w:val="17"/>
              </w:rPr>
              <w:t>Generative diffusion decoders are far heavier than a feed-forward router and serve a different goal from classification backbones.</w:t>
            </w:r>
          </w:p>
        </w:tc>
      </w:tr>
      <w:tr>
        <w:trPr>
          <w:cantSplit w:val="true"/>
        </w:trPr>
        <w:tc>
          <w:tcPr>
            <w:tcW w:type="dxa" w:w="567"/>
            <w:vAlign w:val="top"/>
            <w:shd w:val="clear" w:color="auto" w:fill="F5F9FA"/>
          </w:tcPr>
          <w:p>
            <w:pPr>
              <w:spacing w:after="0" w:before="0"/>
            </w:pPr>
            <w:r/>
            <w:r>
              <w:rPr>
                <w:b w:val="0"/>
                <w:i w:val="0"/>
                <w:sz w:val="17"/>
              </w:rPr>
              <w:t>16</w:t>
            </w:r>
          </w:p>
        </w:tc>
        <w:tc>
          <w:tcPr>
            <w:tcW w:type="dxa" w:w="2494"/>
            <w:vAlign w:val="top"/>
            <w:shd w:val="clear" w:color="auto" w:fill="F5F9FA"/>
          </w:tcPr>
          <w:p>
            <w:pPr>
              <w:spacing w:after="0" w:before="0"/>
            </w:pPr>
            <w:r/>
            <w:r>
              <w:rPr>
                <w:b/>
                <w:i w:val="0"/>
                <w:color w:val="0F2A3D"/>
                <w:sz w:val="17"/>
              </w:rPr>
              <w:t>Akan, Slots in real-world scenarios (arXiv 2025)</w:t>
            </w:r>
          </w:p>
        </w:tc>
        <w:tc>
          <w:tcPr>
            <w:tcW w:type="dxa" w:w="3175"/>
            <w:vAlign w:val="top"/>
            <w:shd w:val="clear" w:color="auto" w:fill="F5F9FA"/>
          </w:tcPr>
          <w:p>
            <w:pPr>
              <w:spacing w:after="0" w:before="0"/>
            </w:pPr>
            <w:r/>
            <w:r>
              <w:rPr>
                <w:b w:val="0"/>
                <w:i w:val="0"/>
                <w:sz w:val="17"/>
              </w:rPr>
              <w:t>SlotAdapt: lightweight adapters and a register token that connect object-centric slots to pretrained diffusion models.</w:t>
            </w:r>
          </w:p>
        </w:tc>
        <w:tc>
          <w:tcPr>
            <w:tcW w:type="dxa" w:w="2041"/>
            <w:vAlign w:val="top"/>
            <w:shd w:val="clear" w:color="auto" w:fill="F5F9FA"/>
          </w:tcPr>
          <w:p>
            <w:pPr>
              <w:spacing w:after="0" w:before="0"/>
            </w:pPr>
            <w:r/>
            <w:r>
              <w:rPr>
                <w:b w:val="0"/>
                <w:i w:val="0"/>
                <w:sz w:val="17"/>
              </w:rPr>
              <w:t>Real-world scenes; generative models.</w:t>
            </w:r>
          </w:p>
        </w:tc>
        <w:tc>
          <w:tcPr>
            <w:tcW w:type="dxa" w:w="2948"/>
            <w:vAlign w:val="top"/>
            <w:shd w:val="clear" w:color="auto" w:fill="F5F9FA"/>
          </w:tcPr>
          <w:p>
            <w:pPr>
              <w:spacing w:after="0" w:before="0"/>
            </w:pPr>
            <w:r/>
            <w:r>
              <w:rPr>
                <w:b w:val="0"/>
                <w:i w:val="0"/>
                <w:sz w:val="17"/>
              </w:rPr>
              <w:t>Combining slots with a register token bridges object-centric learning and high-fidelity diffusion models.</w:t>
            </w:r>
          </w:p>
        </w:tc>
        <w:tc>
          <w:tcPr>
            <w:tcW w:type="dxa" w:w="3912"/>
            <w:vAlign w:val="top"/>
            <w:shd w:val="clear" w:color="auto" w:fill="F5F9FA"/>
          </w:tcPr>
          <w:p>
            <w:pPr>
              <w:spacing w:after="0" w:before="0"/>
            </w:pPr>
            <w:r/>
            <w:r>
              <w:rPr>
                <w:b w:val="0"/>
                <w:i w:val="0"/>
                <w:sz w:val="17"/>
              </w:rPr>
              <w:t>Uses a register token alongside slots, which reinforces the need for a register control when claiming slot benefits.</w:t>
            </w:r>
          </w:p>
        </w:tc>
      </w:tr>
      <w:tr>
        <w:trPr>
          <w:cantSplit w:val="true"/>
        </w:trPr>
        <w:tc>
          <w:tcPr>
            <w:tcW w:type="dxa" w:w="3912"/>
            <w:gridSpan w:val="6"/>
            <w:vAlign w:val="center"/>
            <w:shd w:val="clear" w:color="auto" w:fill="D3E3E9"/>
          </w:tcPr>
          <w:p>
            <w:pPr>
              <w:keepNext/>
              <w:spacing w:after="0" w:before="0"/>
            </w:pPr>
            <w:r/>
            <w:r>
              <w:rPr>
                <w:b/>
                <w:i w:val="0"/>
                <w:color w:val="0F2A3D"/>
                <w:sz w:val="17"/>
              </w:rPr>
              <w:t>DENSE FEATURES AND EMERGENT REGIONS</w:t>
            </w:r>
          </w:p>
        </w:tc>
      </w:tr>
      <w:tr>
        <w:trPr>
          <w:cantSplit w:val="true"/>
        </w:trPr>
        <w:tc>
          <w:tcPr>
            <w:tcW w:type="dxa" w:w="567"/>
            <w:vAlign w:val="top"/>
          </w:tcPr>
          <w:p>
            <w:pPr>
              <w:spacing w:after="0" w:before="0"/>
            </w:pPr>
            <w:r/>
            <w:r>
              <w:rPr>
                <w:b w:val="0"/>
                <w:i w:val="0"/>
                <w:sz w:val="17"/>
              </w:rPr>
              <w:t>17</w:t>
            </w:r>
          </w:p>
        </w:tc>
        <w:tc>
          <w:tcPr>
            <w:tcW w:type="dxa" w:w="2494"/>
            <w:vAlign w:val="top"/>
          </w:tcPr>
          <w:p>
            <w:pPr>
              <w:spacing w:after="0" w:before="0"/>
            </w:pPr>
            <w:r/>
            <w:r>
              <w:rPr>
                <w:b/>
                <w:i w:val="0"/>
                <w:color w:val="0F2A3D"/>
                <w:sz w:val="17"/>
              </w:rPr>
              <w:t>Simeoni et al., DINOv3 (arXiv 2025)</w:t>
            </w:r>
          </w:p>
        </w:tc>
        <w:tc>
          <w:tcPr>
            <w:tcW w:type="dxa" w:w="3175"/>
            <w:vAlign w:val="top"/>
          </w:tcPr>
          <w:p>
            <w:pPr>
              <w:spacing w:after="0" w:before="0"/>
            </w:pPr>
            <w:r/>
            <w:r>
              <w:rPr>
                <w:b w:val="0"/>
                <w:i w:val="0"/>
                <w:sz w:val="17"/>
              </w:rPr>
              <w:t>Self-supervised foundation model scaled in data and parameters; 'Gram anchoring' to keep dense feature maps clean.</w:t>
            </w:r>
          </w:p>
        </w:tc>
        <w:tc>
          <w:tcPr>
            <w:tcW w:type="dxa" w:w="2041"/>
            <w:vAlign w:val="top"/>
          </w:tcPr>
          <w:p>
            <w:pPr>
              <w:spacing w:after="0" w:before="0"/>
            </w:pPr>
            <w:r/>
            <w:r>
              <w:rPr>
                <w:b w:val="0"/>
                <w:i w:val="0"/>
                <w:sz w:val="17"/>
              </w:rPr>
              <w:t>Very large-scale self-supervised pre-training; many tasks without fine-tuning.</w:t>
            </w:r>
          </w:p>
        </w:tc>
        <w:tc>
          <w:tcPr>
            <w:tcW w:type="dxa" w:w="2948"/>
            <w:vAlign w:val="top"/>
          </w:tcPr>
          <w:p>
            <w:pPr>
              <w:spacing w:after="0" w:before="0"/>
            </w:pPr>
            <w:r/>
            <w:r>
              <w:rPr>
                <w:b w:val="0"/>
                <w:i w:val="0"/>
                <w:sz w:val="17"/>
              </w:rPr>
              <w:t>Strong dense features without annotation.</w:t>
            </w:r>
          </w:p>
        </w:tc>
        <w:tc>
          <w:tcPr>
            <w:tcW w:type="dxa" w:w="3912"/>
            <w:vAlign w:val="top"/>
          </w:tcPr>
          <w:p>
            <w:pPr>
              <w:spacing w:after="0" w:before="0"/>
            </w:pPr>
            <w:r/>
            <w:r>
              <w:rPr>
                <w:b w:val="0"/>
                <w:i w:val="0"/>
                <w:sz w:val="17"/>
              </w:rPr>
              <w:t>Sets the bar for region quality at a scale we cannot reproduce; usable only as a frozen reference for region baselines in RO4.</w:t>
            </w:r>
          </w:p>
        </w:tc>
      </w:tr>
      <w:tr>
        <w:trPr>
          <w:cantSplit w:val="true"/>
        </w:trPr>
        <w:tc>
          <w:tcPr>
            <w:tcW w:type="dxa" w:w="567"/>
            <w:vAlign w:val="top"/>
            <w:shd w:val="clear" w:color="auto" w:fill="F5F9FA"/>
          </w:tcPr>
          <w:p>
            <w:pPr>
              <w:spacing w:after="0" w:before="0"/>
            </w:pPr>
            <w:r/>
            <w:r>
              <w:rPr>
                <w:b w:val="0"/>
                <w:i w:val="0"/>
                <w:sz w:val="17"/>
              </w:rPr>
              <w:t>18</w:t>
            </w:r>
          </w:p>
        </w:tc>
        <w:tc>
          <w:tcPr>
            <w:tcW w:type="dxa" w:w="2494"/>
            <w:vAlign w:val="top"/>
            <w:shd w:val="clear" w:color="auto" w:fill="F5F9FA"/>
          </w:tcPr>
          <w:p>
            <w:pPr>
              <w:spacing w:after="0" w:before="0"/>
            </w:pPr>
            <w:r/>
            <w:r>
              <w:rPr>
                <w:b/>
                <w:i w:val="0"/>
                <w:color w:val="0F2A3D"/>
                <w:sz w:val="17"/>
              </w:rPr>
              <w:t>Rawlekar et al., Object DINO (CVPR 2026)</w:t>
            </w:r>
          </w:p>
        </w:tc>
        <w:tc>
          <w:tcPr>
            <w:tcW w:type="dxa" w:w="3175"/>
            <w:vAlign w:val="top"/>
            <w:shd w:val="clear" w:color="auto" w:fill="F5F9FA"/>
          </w:tcPr>
          <w:p>
            <w:pPr>
              <w:spacing w:after="0" w:before="0"/>
            </w:pPr>
            <w:r/>
            <w:r>
              <w:rPr>
                <w:b w:val="0"/>
                <w:i w:val="0"/>
                <w:sz w:val="17"/>
              </w:rPr>
              <w:t>Training-free extraction of cleaner object maps from distributed properties of self-supervised ViTs, because [CLS] attention maps are noisy.</w:t>
            </w:r>
          </w:p>
        </w:tc>
        <w:tc>
          <w:tcPr>
            <w:tcW w:type="dxa" w:w="2041"/>
            <w:vAlign w:val="top"/>
            <w:shd w:val="clear" w:color="auto" w:fill="F5F9FA"/>
          </w:tcPr>
          <w:p>
            <w:pPr>
              <w:spacing w:after="0" w:before="0"/>
            </w:pPr>
            <w:r/>
            <w:r>
              <w:rPr>
                <w:b w:val="0"/>
                <w:i w:val="0"/>
                <w:sz w:val="17"/>
              </w:rPr>
              <w:t>Self-supervised ViTs such as DINO.</w:t>
            </w:r>
          </w:p>
        </w:tc>
        <w:tc>
          <w:tcPr>
            <w:tcW w:type="dxa" w:w="2948"/>
            <w:vAlign w:val="top"/>
            <w:shd w:val="clear" w:color="auto" w:fill="F5F9FA"/>
          </w:tcPr>
          <w:p>
            <w:pPr>
              <w:spacing w:after="0" w:before="0"/>
            </w:pPr>
            <w:r/>
            <w:r>
              <w:rPr>
                <w:b w:val="0"/>
                <w:i w:val="0"/>
                <w:sz w:val="17"/>
              </w:rPr>
              <w:t>Standard [CLS]-attention localisation contains spurious activations.</w:t>
            </w:r>
          </w:p>
        </w:tc>
        <w:tc>
          <w:tcPr>
            <w:tcW w:type="dxa" w:w="3912"/>
            <w:vAlign w:val="top"/>
            <w:shd w:val="clear" w:color="auto" w:fill="F5F9FA"/>
          </w:tcPr>
          <w:p>
            <w:pPr>
              <w:spacing w:after="0" w:before="0"/>
            </w:pPr>
            <w:r/>
            <w:r>
              <w:rPr>
                <w:b w:val="0"/>
                <w:i w:val="0"/>
                <w:sz w:val="17"/>
              </w:rPr>
              <w:t>Shows that object localisation from attention depends on the extraction protocol, which is why RO4 fixes metrics and baselines in advance.</w:t>
            </w:r>
          </w:p>
        </w:tc>
      </w:tr>
      <w:tr>
        <w:trPr>
          <w:cantSplit w:val="true"/>
        </w:trPr>
        <w:tc>
          <w:tcPr>
            <w:tcW w:type="dxa" w:w="3912"/>
            <w:gridSpan w:val="6"/>
            <w:vAlign w:val="center"/>
            <w:shd w:val="clear" w:color="auto" w:fill="D3E3E9"/>
          </w:tcPr>
          <w:p>
            <w:pPr>
              <w:keepNext/>
              <w:spacing w:after="0" w:before="0"/>
            </w:pPr>
            <w:r/>
            <w:r>
              <w:rPr>
                <w:b/>
                <w:i w:val="0"/>
                <w:color w:val="0F2A3D"/>
                <w:sz w:val="17"/>
              </w:rPr>
              <w:t>EVALUATION RIGOUR</w:t>
            </w:r>
          </w:p>
        </w:tc>
      </w:tr>
      <w:tr>
        <w:trPr>
          <w:cantSplit w:val="true"/>
        </w:trPr>
        <w:tc>
          <w:tcPr>
            <w:tcW w:type="dxa" w:w="567"/>
            <w:vAlign w:val="top"/>
          </w:tcPr>
          <w:p>
            <w:pPr>
              <w:spacing w:after="0" w:before="0"/>
            </w:pPr>
            <w:r/>
            <w:r>
              <w:rPr>
                <w:b w:val="0"/>
                <w:i w:val="0"/>
                <w:sz w:val="17"/>
              </w:rPr>
              <w:t>19</w:t>
            </w:r>
          </w:p>
        </w:tc>
        <w:tc>
          <w:tcPr>
            <w:tcW w:type="dxa" w:w="2494"/>
            <w:vAlign w:val="top"/>
          </w:tcPr>
          <w:p>
            <w:pPr>
              <w:spacing w:after="0" w:before="0"/>
            </w:pPr>
            <w:r/>
            <w:r>
              <w:rPr>
                <w:b/>
                <w:i w:val="0"/>
                <w:color w:val="0F2A3D"/>
                <w:sz w:val="17"/>
              </w:rPr>
              <w:t>Wen et al., Fantastic pretraining optimizers (ICLR 2026)</w:t>
            </w:r>
          </w:p>
        </w:tc>
        <w:tc>
          <w:tcPr>
            <w:tcW w:type="dxa" w:w="3175"/>
            <w:vAlign w:val="top"/>
          </w:tcPr>
          <w:p>
            <w:pPr>
              <w:spacing w:after="0" w:before="0"/>
            </w:pPr>
            <w:r/>
            <w:r>
              <w:rPr>
                <w:b w:val="0"/>
                <w:i w:val="0"/>
                <w:sz w:val="17"/>
              </w:rPr>
              <w:t>Rigorous comparison of eleven optimizers across model scales to 1.2B parameters with matched hyper-parameter tuning.</w:t>
            </w:r>
          </w:p>
        </w:tc>
        <w:tc>
          <w:tcPr>
            <w:tcW w:type="dxa" w:w="2041"/>
            <w:vAlign w:val="top"/>
          </w:tcPr>
          <w:p>
            <w:pPr>
              <w:spacing w:after="0" w:before="0"/>
            </w:pPr>
            <w:r/>
            <w:r>
              <w:rPr>
                <w:b w:val="0"/>
                <w:i w:val="0"/>
                <w:sz w:val="17"/>
              </w:rPr>
              <w:t>Language-model pretraining.</w:t>
            </w:r>
          </w:p>
        </w:tc>
        <w:tc>
          <w:tcPr>
            <w:tcW w:type="dxa" w:w="2948"/>
            <w:vAlign w:val="top"/>
          </w:tcPr>
          <w:p>
            <w:pPr>
              <w:spacing w:after="0" w:before="0"/>
            </w:pPr>
            <w:r/>
            <w:r>
              <w:rPr>
                <w:b w:val="0"/>
                <w:i w:val="0"/>
                <w:sz w:val="17"/>
              </w:rPr>
              <w:t>Claimed 1.4x to 2x speedups largely reflect unequal tuning and small-scale tests.</w:t>
            </w:r>
          </w:p>
        </w:tc>
        <w:tc>
          <w:tcPr>
            <w:tcW w:type="dxa" w:w="3912"/>
            <w:vAlign w:val="top"/>
          </w:tcPr>
          <w:p>
            <w:pPr>
              <w:spacing w:after="0" w:before="0"/>
            </w:pPr>
            <w:r/>
            <w:r>
              <w:rPr>
                <w:b w:val="0"/>
                <w:i w:val="0"/>
                <w:sz w:val="17"/>
              </w:rPr>
              <w:t>Same methodological failure as our audit, in another domain. No equivalent per-arm-tuned comparison exists for token-grouping ViTs.</w:t>
            </w:r>
          </w:p>
        </w:tc>
      </w:tr>
      <w:tr>
        <w:trPr>
          <w:cantSplit w:val="true"/>
        </w:trPr>
        <w:tc>
          <w:tcPr>
            <w:tcW w:type="dxa" w:w="567"/>
            <w:vAlign w:val="top"/>
            <w:shd w:val="clear" w:color="auto" w:fill="F5F9FA"/>
          </w:tcPr>
          <w:p>
            <w:pPr>
              <w:spacing w:after="0" w:before="0"/>
            </w:pPr>
            <w:r/>
            <w:r>
              <w:rPr>
                <w:b w:val="0"/>
                <w:i w:val="0"/>
                <w:sz w:val="17"/>
              </w:rPr>
              <w:t>20</w:t>
            </w:r>
          </w:p>
        </w:tc>
        <w:tc>
          <w:tcPr>
            <w:tcW w:type="dxa" w:w="2494"/>
            <w:vAlign w:val="top"/>
            <w:shd w:val="clear" w:color="auto" w:fill="F5F9FA"/>
          </w:tcPr>
          <w:p>
            <w:pPr>
              <w:spacing w:after="0" w:before="0"/>
            </w:pPr>
            <w:r/>
            <w:r>
              <w:rPr>
                <w:b/>
                <w:i w:val="0"/>
                <w:color w:val="0F2A3D"/>
                <w:sz w:val="17"/>
              </w:rPr>
              <w:t>Kasimbeg et al., Hyperparameter-free learning (TMLR 2025)</w:t>
            </w:r>
          </w:p>
        </w:tc>
        <w:tc>
          <w:tcPr>
            <w:tcW w:type="dxa" w:w="3175"/>
            <w:vAlign w:val="top"/>
            <w:shd w:val="clear" w:color="auto" w:fill="F5F9FA"/>
          </w:tcPr>
          <w:p>
            <w:pPr>
              <w:spacing w:after="0" w:before="0"/>
            </w:pPr>
            <w:r/>
            <w:r>
              <w:rPr>
                <w:b w:val="0"/>
                <w:i w:val="0"/>
                <w:sz w:val="17"/>
              </w:rPr>
              <w:t>Examines whether learning algorithms can avoid per-workload hyper-parameter tuning.</w:t>
            </w:r>
          </w:p>
        </w:tc>
        <w:tc>
          <w:tcPr>
            <w:tcW w:type="dxa" w:w="2041"/>
            <w:vAlign w:val="top"/>
            <w:shd w:val="clear" w:color="auto" w:fill="F5F9FA"/>
          </w:tcPr>
          <w:p>
            <w:pPr>
              <w:spacing w:after="0" w:before="0"/>
            </w:pPr>
            <w:r/>
            <w:r>
              <w:rPr>
                <w:b w:val="0"/>
                <w:i w:val="0"/>
                <w:sz w:val="17"/>
              </w:rPr>
              <w:t>Deep-learning workloads.</w:t>
            </w:r>
          </w:p>
        </w:tc>
        <w:tc>
          <w:tcPr>
            <w:tcW w:type="dxa" w:w="2948"/>
            <w:vAlign w:val="top"/>
            <w:shd w:val="clear" w:color="auto" w:fill="F5F9FA"/>
          </w:tcPr>
          <w:p>
            <w:pPr>
              <w:spacing w:after="0" w:before="0"/>
            </w:pPr>
            <w:r/>
            <w:r>
              <w:rPr>
                <w:b w:val="0"/>
                <w:i w:val="0"/>
                <w:sz w:val="17"/>
              </w:rPr>
              <w:t>Per-workload tuning of optimization and regularization hyper-parameters remains crucial and expensive.</w:t>
            </w:r>
          </w:p>
        </w:tc>
        <w:tc>
          <w:tcPr>
            <w:tcW w:type="dxa" w:w="3912"/>
            <w:vAlign w:val="top"/>
            <w:shd w:val="clear" w:color="auto" w:fill="F5F9FA"/>
          </w:tcPr>
          <w:p>
            <w:pPr>
              <w:spacing w:after="0" w:before="0"/>
            </w:pPr>
            <w:r/>
            <w:r>
              <w:rPr>
                <w:b w:val="0"/>
                <w:i w:val="0"/>
                <w:sz w:val="17"/>
              </w:rPr>
              <w:t>Supports tuning every arm separately (RO2) and shows that a single shared recipe is a weak basis for comparison.</w:t>
            </w:r>
          </w:p>
        </w:tc>
      </w:tr>
      <w:tr>
        <w:trPr>
          <w:cantSplit w:val="true"/>
        </w:trPr>
        <w:tc>
          <w:tcPr>
            <w:tcW w:type="dxa" w:w="567"/>
            <w:vAlign w:val="top"/>
          </w:tcPr>
          <w:p>
            <w:pPr>
              <w:spacing w:after="0" w:before="0"/>
            </w:pPr>
            <w:r/>
            <w:r>
              <w:rPr>
                <w:b w:val="0"/>
                <w:i w:val="0"/>
                <w:sz w:val="17"/>
              </w:rPr>
              <w:t>21</w:t>
            </w:r>
          </w:p>
        </w:tc>
        <w:tc>
          <w:tcPr>
            <w:tcW w:type="dxa" w:w="2494"/>
            <w:vAlign w:val="top"/>
          </w:tcPr>
          <w:p>
            <w:pPr>
              <w:spacing w:after="0" w:before="0"/>
            </w:pPr>
            <w:r/>
            <w:r>
              <w:rPr>
                <w:b/>
                <w:i w:val="0"/>
                <w:color w:val="0F2A3D"/>
                <w:sz w:val="17"/>
              </w:rPr>
              <w:t>Hochlehnert et al., A sober look at LM reasoning (COLM 2025)</w:t>
            </w:r>
          </w:p>
        </w:tc>
        <w:tc>
          <w:tcPr>
            <w:tcW w:type="dxa" w:w="3175"/>
            <w:vAlign w:val="top"/>
          </w:tcPr>
          <w:p>
            <w:pPr>
              <w:spacing w:after="0" w:before="0"/>
            </w:pPr>
            <w:r/>
            <w:r>
              <w:rPr>
                <w:b w:val="0"/>
                <w:i w:val="0"/>
                <w:sz w:val="17"/>
              </w:rPr>
              <w:t>Empirical study of evaluation practices; proposes a standardised, statistically grounded framework.</w:t>
            </w:r>
          </w:p>
        </w:tc>
        <w:tc>
          <w:tcPr>
            <w:tcW w:type="dxa" w:w="2041"/>
            <w:vAlign w:val="top"/>
          </w:tcPr>
          <w:p>
            <w:pPr>
              <w:spacing w:after="0" w:before="0"/>
            </w:pPr>
            <w:r/>
            <w:r>
              <w:rPr>
                <w:b w:val="0"/>
                <w:i w:val="0"/>
                <w:sz w:val="17"/>
              </w:rPr>
              <w:t>Language-model reasoning benchmarks.</w:t>
            </w:r>
          </w:p>
        </w:tc>
        <w:tc>
          <w:tcPr>
            <w:tcW w:type="dxa" w:w="2948"/>
            <w:vAlign w:val="top"/>
          </w:tcPr>
          <w:p>
            <w:pPr>
              <w:spacing w:after="0" w:before="0"/>
            </w:pPr>
            <w:r/>
            <w:r>
              <w:rPr>
                <w:b w:val="0"/>
                <w:i w:val="0"/>
                <w:sz w:val="17"/>
              </w:rPr>
              <w:t>Reported progress is often inflated by inconsistent, non-robust evaluation; many gains are small.</w:t>
            </w:r>
          </w:p>
        </w:tc>
        <w:tc>
          <w:tcPr>
            <w:tcW w:type="dxa" w:w="3912"/>
            <w:vAlign w:val="top"/>
          </w:tcPr>
          <w:p>
            <w:pPr>
              <w:spacing w:after="0" w:before="0"/>
            </w:pPr>
            <w:r/>
            <w:r>
              <w:rPr>
                <w:b w:val="0"/>
                <w:i w:val="0"/>
                <w:sz w:val="17"/>
              </w:rPr>
              <w:t>Different domain, same lesson: variance and transparency decide conclusions. It supports multiple seeds and an OSF-registered plan.</w:t>
            </w:r>
          </w:p>
        </w:tc>
      </w:tr>
      <w:tr>
        <w:trPr>
          <w:cantSplit w:val="true"/>
        </w:trPr>
        <w:tc>
          <w:tcPr>
            <w:tcW w:type="dxa" w:w="3912"/>
            <w:gridSpan w:val="6"/>
            <w:vAlign w:val="center"/>
            <w:shd w:val="clear" w:color="auto" w:fill="D3E3E9"/>
          </w:tcPr>
          <w:p>
            <w:pPr>
              <w:keepNext/>
              <w:spacing w:after="0" w:before="0"/>
            </w:pPr>
            <w:r/>
            <w:r>
              <w:rPr>
                <w:b/>
                <w:i w:val="0"/>
                <w:color w:val="0F2A3D"/>
                <w:sz w:val="17"/>
              </w:rPr>
              <w:t>CAUSAL EMERGENCE</w:t>
            </w:r>
          </w:p>
        </w:tc>
      </w:tr>
      <w:tr>
        <w:trPr>
          <w:cantSplit w:val="true"/>
        </w:trPr>
        <w:tc>
          <w:tcPr>
            <w:tcW w:type="dxa" w:w="567"/>
            <w:vAlign w:val="top"/>
            <w:shd w:val="clear" w:color="auto" w:fill="F5F9FA"/>
          </w:tcPr>
          <w:p>
            <w:pPr>
              <w:spacing w:after="0" w:before="0"/>
            </w:pPr>
            <w:r/>
            <w:r>
              <w:rPr>
                <w:b w:val="0"/>
                <w:i w:val="0"/>
                <w:sz w:val="17"/>
              </w:rPr>
              <w:t>22</w:t>
            </w:r>
          </w:p>
        </w:tc>
        <w:tc>
          <w:tcPr>
            <w:tcW w:type="dxa" w:w="2494"/>
            <w:vAlign w:val="top"/>
            <w:shd w:val="clear" w:color="auto" w:fill="F5F9FA"/>
          </w:tcPr>
          <w:p>
            <w:pPr>
              <w:spacing w:after="0" w:before="0"/>
            </w:pPr>
            <w:r/>
            <w:r>
              <w:rPr>
                <w:b/>
                <w:i w:val="0"/>
                <w:color w:val="0F2A3D"/>
                <w:sz w:val="17"/>
              </w:rPr>
              <w:t>Hoel, Causal emergence 2.0 (arXiv 2025)</w:t>
            </w:r>
          </w:p>
        </w:tc>
        <w:tc>
          <w:tcPr>
            <w:tcW w:type="dxa" w:w="3175"/>
            <w:vAlign w:val="top"/>
            <w:shd w:val="clear" w:color="auto" w:fill="F5F9FA"/>
          </w:tcPr>
          <w:p>
            <w:pPr>
              <w:spacing w:after="0" w:before="0"/>
            </w:pPr>
            <w:r/>
            <w:r>
              <w:rPr>
                <w:b w:val="0"/>
                <w:i w:val="0"/>
                <w:sz w:val="17"/>
              </w:rPr>
              <w:t>Axiomatic extension of causal emergence theory to quantify emergent complexity.</w:t>
            </w:r>
          </w:p>
        </w:tc>
        <w:tc>
          <w:tcPr>
            <w:tcW w:type="dxa" w:w="2041"/>
            <w:vAlign w:val="top"/>
            <w:shd w:val="clear" w:color="auto" w:fill="F5F9FA"/>
          </w:tcPr>
          <w:p>
            <w:pPr>
              <w:spacing w:after="0" w:before="0"/>
            </w:pPr>
            <w:r/>
            <w:r>
              <w:rPr>
                <w:b w:val="0"/>
                <w:i w:val="0"/>
                <w:sz w:val="17"/>
              </w:rPr>
              <w:t>Theory.</w:t>
            </w:r>
          </w:p>
        </w:tc>
        <w:tc>
          <w:tcPr>
            <w:tcW w:type="dxa" w:w="2948"/>
            <w:vAlign w:val="top"/>
            <w:shd w:val="clear" w:color="auto" w:fill="F5F9FA"/>
          </w:tcPr>
          <w:p>
            <w:pPr>
              <w:spacing w:after="0" w:before="0"/>
            </w:pPr>
            <w:r/>
            <w:r>
              <w:rPr>
                <w:b w:val="0"/>
                <w:i w:val="0"/>
                <w:sz w:val="17"/>
              </w:rPr>
              <w:t>A formal framework for when macro-scale descriptions carry more causal structure.</w:t>
            </w:r>
          </w:p>
        </w:tc>
        <w:tc>
          <w:tcPr>
            <w:tcW w:type="dxa" w:w="3912"/>
            <w:vAlign w:val="top"/>
            <w:shd w:val="clear" w:color="auto" w:fill="F5F9FA"/>
          </w:tcPr>
          <w:p>
            <w:pPr>
              <w:spacing w:after="0" w:before="0"/>
            </w:pPr>
            <w:r/>
            <w:r>
              <w:rPr>
                <w:b w:val="0"/>
                <w:i w:val="0"/>
                <w:sz w:val="17"/>
              </w:rPr>
              <w:t>Theory with no validated differentiable vision implementation. Our minor project cited it but never computed Hoel-style effective information, and withdrew that framing.</w:t>
            </w:r>
          </w:p>
        </w:tc>
      </w:tr>
      <w:tr>
        <w:trPr>
          <w:cantSplit w:val="true"/>
        </w:trPr>
        <w:tc>
          <w:tcPr>
            <w:tcW w:type="dxa" w:w="567"/>
            <w:vAlign w:val="top"/>
          </w:tcPr>
          <w:p>
            <w:pPr>
              <w:spacing w:after="0" w:before="0"/>
            </w:pPr>
            <w:r/>
            <w:r>
              <w:rPr>
                <w:b w:val="0"/>
                <w:i w:val="0"/>
                <w:sz w:val="17"/>
              </w:rPr>
              <w:t>23</w:t>
            </w:r>
          </w:p>
        </w:tc>
        <w:tc>
          <w:tcPr>
            <w:tcW w:type="dxa" w:w="2494"/>
            <w:vAlign w:val="top"/>
          </w:tcPr>
          <w:p>
            <w:pPr>
              <w:spacing w:after="0" w:before="0"/>
            </w:pPr>
            <w:r/>
            <w:r>
              <w:rPr>
                <w:b/>
                <w:i w:val="0"/>
                <w:color w:val="0F2A3D"/>
                <w:sz w:val="17"/>
              </w:rPr>
              <w:t>Zhang et al., Reversibility and causal emergence via SVD (npj Complexity 2025)</w:t>
            </w:r>
          </w:p>
        </w:tc>
        <w:tc>
          <w:tcPr>
            <w:tcW w:type="dxa" w:w="3175"/>
            <w:vAlign w:val="top"/>
          </w:tcPr>
          <w:p>
            <w:pPr>
              <w:spacing w:after="0" w:before="0"/>
            </w:pPr>
            <w:r/>
            <w:r>
              <w:rPr>
                <w:b w:val="0"/>
                <w:i w:val="0"/>
                <w:sz w:val="17"/>
              </w:rPr>
              <w:t>Connects dynamical reversibility to effective information through an SVD formulation.</w:t>
            </w:r>
          </w:p>
        </w:tc>
        <w:tc>
          <w:tcPr>
            <w:tcW w:type="dxa" w:w="2041"/>
            <w:vAlign w:val="top"/>
          </w:tcPr>
          <w:p>
            <w:pPr>
              <w:spacing w:after="0" w:before="0"/>
            </w:pPr>
            <w:r/>
            <w:r>
              <w:rPr>
                <w:b w:val="0"/>
                <w:i w:val="0"/>
                <w:sz w:val="17"/>
              </w:rPr>
              <w:t>Dynamical systems.</w:t>
            </w:r>
          </w:p>
        </w:tc>
        <w:tc>
          <w:tcPr>
            <w:tcW w:type="dxa" w:w="2948"/>
            <w:vAlign w:val="top"/>
          </w:tcPr>
          <w:p>
            <w:pPr>
              <w:spacing w:after="0" w:before="0"/>
            </w:pPr>
            <w:r/>
            <w:r>
              <w:rPr>
                <w:b w:val="0"/>
                <w:i w:val="0"/>
                <w:sz w:val="17"/>
              </w:rPr>
              <w:t>An SVD-based route to causal emergence.</w:t>
            </w:r>
          </w:p>
        </w:tc>
        <w:tc>
          <w:tcPr>
            <w:tcW w:type="dxa" w:w="3912"/>
            <w:vAlign w:val="top"/>
          </w:tcPr>
          <w:p>
            <w:pPr>
              <w:spacing w:after="0" w:before="0"/>
            </w:pPr>
            <w:r/>
            <w:r>
              <w:rPr>
                <w:b w:val="0"/>
                <w:i w:val="0"/>
                <w:sz w:val="17"/>
              </w:rPr>
              <w:t>The spectral regulariser of our minor project drew on this idea, but its metric turned out inverted relative to its description and was inactive at the trained operating point.</w:t>
            </w:r>
          </w:p>
        </w:tc>
      </w:tr>
      <w:tr>
        <w:trPr>
          <w:cantSplit w:val="true"/>
        </w:trPr>
        <w:tc>
          <w:tcPr>
            <w:tcW w:type="dxa" w:w="3912"/>
            <w:gridSpan w:val="6"/>
            <w:vAlign w:val="center"/>
            <w:shd w:val="clear" w:color="auto" w:fill="D3E3E9"/>
          </w:tcPr>
          <w:p>
            <w:pPr>
              <w:keepNext/>
              <w:spacing w:after="0" w:before="0"/>
            </w:pPr>
            <w:r/>
            <w:r>
              <w:rPr>
                <w:b/>
                <w:i w:val="0"/>
                <w:color w:val="0F2A3D"/>
                <w:sz w:val="17"/>
              </w:rPr>
              <w:t>OWN PRIOR WORK</w:t>
            </w:r>
          </w:p>
        </w:tc>
      </w:tr>
      <w:tr>
        <w:trPr>
          <w:cantSplit w:val="true"/>
        </w:trPr>
        <w:tc>
          <w:tcPr>
            <w:tcW w:type="dxa" w:w="567"/>
            <w:vAlign w:val="top"/>
            <w:shd w:val="clear" w:color="auto" w:fill="F5F9FA"/>
          </w:tcPr>
          <w:p>
            <w:pPr>
              <w:spacing w:after="0" w:before="0"/>
            </w:pPr>
            <w:r/>
            <w:r>
              <w:rPr>
                <w:b w:val="0"/>
                <w:i w:val="0"/>
                <w:sz w:val="17"/>
              </w:rPr>
              <w:t>24</w:t>
            </w:r>
          </w:p>
        </w:tc>
        <w:tc>
          <w:tcPr>
            <w:tcW w:type="dxa" w:w="2494"/>
            <w:vAlign w:val="top"/>
            <w:shd w:val="clear" w:color="auto" w:fill="F5F9FA"/>
          </w:tcPr>
          <w:p>
            <w:pPr>
              <w:spacing w:after="0" w:before="0"/>
            </w:pPr>
            <w:r/>
            <w:r>
              <w:rPr>
                <w:b/>
                <w:i w:val="0"/>
                <w:color w:val="0F2A3D"/>
                <w:sz w:val="17"/>
              </w:rPr>
              <w:t>Das, Sharma &amp; Eliazer M, CET-ViT (IEEE ICSL-DSGA 2026)</w:t>
            </w:r>
          </w:p>
        </w:tc>
        <w:tc>
          <w:tcPr>
            <w:tcW w:type="dxa" w:w="3175"/>
            <w:vAlign w:val="top"/>
            <w:shd w:val="clear" w:color="auto" w:fill="F5F9FA"/>
          </w:tcPr>
          <w:p>
            <w:pPr>
              <w:spacing w:after="0" w:before="0"/>
            </w:pPr>
            <w:r/>
            <w:r>
              <w:rPr>
                <w:b w:val="0"/>
                <w:i w:val="0"/>
                <w:sz w:val="17"/>
              </w:rPr>
              <w:t>Hierarchical ViT with top-3 sparse routing of 256 tokens into 32 macro-slots (V-CEO) and cross-scale attention.</w:t>
            </w:r>
          </w:p>
        </w:tc>
        <w:tc>
          <w:tcPr>
            <w:tcW w:type="dxa" w:w="2041"/>
            <w:vAlign w:val="top"/>
            <w:shd w:val="clear" w:color="auto" w:fill="F5F9FA"/>
          </w:tcPr>
          <w:p>
            <w:pPr>
              <w:spacing w:after="0" w:before="0"/>
            </w:pPr>
            <w:r/>
            <w:r>
              <w:rPr>
                <w:b w:val="0"/>
                <w:i w:val="0"/>
                <w:sz w:val="17"/>
              </w:rPr>
              <w:t>CIFAR-100 and Tiny-ImageNet-200, from scratch.</w:t>
            </w:r>
          </w:p>
        </w:tc>
        <w:tc>
          <w:tcPr>
            <w:tcW w:type="dxa" w:w="2948"/>
            <w:vAlign w:val="top"/>
            <w:shd w:val="clear" w:color="auto" w:fill="F5F9FA"/>
          </w:tcPr>
          <w:p>
            <w:pPr>
              <w:spacing w:after="0" w:before="0"/>
            </w:pPr>
            <w:r/>
            <w:r>
              <w:rPr>
                <w:b w:val="0"/>
                <w:i w:val="0"/>
                <w:sz w:val="17"/>
              </w:rPr>
              <w:t>Reported 76.05 +/- 0.09% on CIFAR-100 (3 seeds) against 72.14% for a size-matched Swin, and +0.92 over Swin on Tiny-ImageNet.</w:t>
            </w:r>
          </w:p>
        </w:tc>
        <w:tc>
          <w:tcPr>
            <w:tcW w:type="dxa" w:w="3912"/>
            <w:vAlign w:val="top"/>
            <w:shd w:val="clear" w:color="auto" w:fill="F5F9FA"/>
          </w:tcPr>
          <w:p>
            <w:pPr>
              <w:spacing w:after="0" w:before="0"/>
            </w:pPr>
            <w:r/>
            <w:r>
              <w:rPr>
                <w:b w:val="0"/>
                <w:i w:val="0"/>
                <w:sz w:val="17"/>
              </w:rPr>
              <w:t>Single-seed baselines, no capacity-matched control, best-epoch selection on the test split, no mask-level region evaluation, no scale beyond 64x64.</w:t>
            </w:r>
          </w:p>
        </w:tc>
      </w:tr>
      <w:tr>
        <w:trPr>
          <w:cantSplit w:val="true"/>
        </w:trPr>
        <w:tc>
          <w:tcPr>
            <w:tcW w:type="dxa" w:w="567"/>
            <w:vAlign w:val="top"/>
          </w:tcPr>
          <w:p>
            <w:pPr>
              <w:spacing w:after="0" w:before="0"/>
            </w:pPr>
            <w:r/>
            <w:r>
              <w:rPr>
                <w:b w:val="0"/>
                <w:i w:val="0"/>
                <w:sz w:val="17"/>
              </w:rPr>
              <w:t>25</w:t>
            </w:r>
          </w:p>
        </w:tc>
        <w:tc>
          <w:tcPr>
            <w:tcW w:type="dxa" w:w="2494"/>
            <w:vAlign w:val="top"/>
          </w:tcPr>
          <w:p>
            <w:pPr>
              <w:spacing w:after="0" w:before="0"/>
            </w:pPr>
            <w:r/>
            <w:r>
              <w:rPr>
                <w:b/>
                <w:i w:val="0"/>
                <w:color w:val="0F2A3D"/>
                <w:sz w:val="17"/>
              </w:rPr>
              <w:t>Das, Compute-matched audit (private draft v13, 2026)</w:t>
            </w:r>
          </w:p>
        </w:tc>
        <w:tc>
          <w:tcPr>
            <w:tcW w:type="dxa" w:w="3175"/>
            <w:vAlign w:val="top"/>
          </w:tcPr>
          <w:p>
            <w:pPr>
              <w:spacing w:after="0" w:before="0"/>
            </w:pPr>
            <w:r/>
            <w:r>
              <w:rPr>
                <w:b w:val="0"/>
                <w:i w:val="0"/>
                <w:sz w:val="17"/>
              </w:rPr>
              <w:t>237 runs, matched no-branch control G, MAC-matched Swins, per-arm learning-rate sweep, committed analysis plans.</w:t>
            </w:r>
          </w:p>
        </w:tc>
        <w:tc>
          <w:tcPr>
            <w:tcW w:type="dxa" w:w="2041"/>
            <w:vAlign w:val="top"/>
          </w:tcPr>
          <w:p>
            <w:pPr>
              <w:spacing w:after="0" w:before="0"/>
            </w:pPr>
            <w:r/>
            <w:r>
              <w:rPr>
                <w:b w:val="0"/>
                <w:i w:val="0"/>
                <w:sz w:val="17"/>
              </w:rPr>
              <w:t>CIFAR-100 and Tiny-ImageNet (5 to 8 seeds per cell).</w:t>
            </w:r>
          </w:p>
        </w:tc>
        <w:tc>
          <w:tcPr>
            <w:tcW w:type="dxa" w:w="2948"/>
            <w:vAlign w:val="top"/>
          </w:tcPr>
          <w:p>
            <w:pPr>
              <w:spacing w:after="0" w:before="0"/>
            </w:pPr>
            <w:r/>
            <w:r>
              <w:rPr>
                <w:b w:val="0"/>
                <w:i w:val="0"/>
                <w:sz w:val="17"/>
              </w:rPr>
              <w:t>Branch below control at the locked LR; sign at selected LRs depends on rate and data set; no robust advantage over a plain Swin.</w:t>
            </w:r>
          </w:p>
        </w:tc>
        <w:tc>
          <w:tcPr>
            <w:tcW w:type="dxa" w:w="3912"/>
            <w:vAlign w:val="top"/>
          </w:tcPr>
          <w:p>
            <w:pPr>
              <w:spacing w:after="0" w:before="0"/>
            </w:pPr>
            <w:r/>
            <w:r>
              <w:rPr>
                <w:b w:val="0"/>
                <w:i w:val="0"/>
                <w:sz w:val="17"/>
              </w:rPr>
              <w:t>One-seed 4-rate sweep; one control placement; fixed routers not tuned; low-resolution data only; no OSF registration.</w:t>
            </w:r>
          </w:p>
        </w:tc>
      </w:tr>
    </w:tbl>
    <w:p>
      <w:pPr>
        <w:sectPr>
          <w:pgSz w:w="16838" w:h="11906" w:orient="landscape"/>
          <w:pgMar w:top="907" w:right="907" w:bottom="907" w:left="907" w:header="720" w:footer="720" w:gutter="0"/>
          <w:cols w:space="720"/>
          <w:docGrid w:linePitch="360"/>
        </w:sectPr>
      </w:pPr>
    </w:p>
    <w:p>
      <w:pPr>
        <w:pStyle w:val="Heading1"/>
      </w:pPr>
      <w:r>
        <w:t>Annexure B: Guide recommendation for extension of the minor project</w:t>
      </w:r>
    </w:p>
    <w:p>
      <w:pPr>
        <w:jc w:val="both"/>
      </w:pPr>
      <w:r>
        <w:rPr>
          <w:b w:val="0"/>
          <w:i w:val="0"/>
        </w:rPr>
        <w:t>As per the Zeroth Review instructions, extension of a minor project to a major project is decided at the Zeroth Review with the guide's recommendation.</w:t>
      </w:r>
    </w:p>
    <w:p>
      <w:r>
        <w:rPr>
          <w:b w:val="0"/>
          <w:i w:val="0"/>
        </w:rPr>
        <w:t>Minor project: CET-ViT: Causal Emergence Transformer for Vision (IEEE ICSL-DSGA 2026, doi:10.1109/ICSL-DSGA70378.2026.11736840).</w:t>
      </w:r>
    </w:p>
    <w:p>
      <w:pPr>
        <w:spacing w:after="360"/>
      </w:pPr>
      <w:r>
        <w:rPr>
          <w:b w:val="0"/>
          <w:i w:val="0"/>
        </w:rPr>
        <w:t>Recommendation of the guide:  Recommended  /  Not recommended</w:t>
      </w:r>
    </w:p>
    <w:p>
      <w:pPr>
        <w:spacing w:after="360"/>
      </w:pPr>
      <w:r>
        <w:rPr>
          <w:b w:val="0"/>
          <w:i w:val="0"/>
        </w:rPr>
        <w:t>Remarks: ____________________________________________________________________________</w:t>
      </w:r>
    </w:p>
    <w:p>
      <w:pPr>
        <w:spacing w:after="240"/>
      </w:pPr>
      <w:r>
        <w:rPr>
          <w:b w:val="0"/>
          <w:i w:val="0"/>
        </w:rPr>
        <w:t>Guide signature and date: ______________________        Name: Dr. Eliazer 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B6B77"/>
        <w:sz w:val="18"/>
      </w:rPr>
      <w:t xml:space="preserve">SRMIST School of Computing  |  Major Project 2026-27  |  Zeroth Review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F2A3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mbria" w:hAnsi="Cambria" w:eastAsia="Cambria"/>
      <w:b/>
      <w:bCs/>
      <w:color w:val="0F2A3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mbria" w:hAnsi="Cambria" w:eastAsia="Cambria"/>
      <w:b/>
      <w:bCs/>
      <w:color w:val="0F2A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