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0F2A3D"/>
          <w:sz w:val="24"/>
        </w:rPr>
        <w:t>SRM INSTITUTE OF SCIENCE AND TECHNOLOGY, KATTANKULATHUR</w:t>
      </w:r>
    </w:p>
    <w:p>
      <w:pPr>
        <w:spacing w:after="160"/>
        <w:jc w:val="center"/>
      </w:pPr>
      <w:r>
        <w:rPr>
          <w:b w:val="0"/>
          <w:i w:val="0"/>
          <w:color w:val="5B6B77"/>
          <w:sz w:val="21"/>
        </w:rPr>
        <w:t>SCHOOL OF COMPUTING  |  Major Project 2026-27  |  Zeroth Review</w:t>
      </w:r>
    </w:p>
    <w:p>
      <w:pPr>
        <w:spacing w:after="40"/>
        <w:jc w:val="center"/>
      </w:pPr>
      <w:r>
        <w:rPr>
          <w:rFonts w:ascii="Cambria" w:hAnsi="Cambria"/>
          <w:b/>
          <w:i w:val="0"/>
          <w:color w:val="0F2A3D"/>
          <w:sz w:val="44"/>
        </w:rPr>
        <w:t>Literature Survey</w:t>
      </w:r>
    </w:p>
    <w:p>
      <w:pPr>
        <w:spacing w:after="120"/>
        <w:jc w:val="center"/>
      </w:pPr>
      <w:r>
        <w:rPr>
          <w:b w:val="0"/>
          <w:i/>
          <w:color w:val="1B7F8C"/>
          <w:sz w:val="26"/>
        </w:rPr>
        <w:t>Beyond CET-ViT: A Capacity-Controlled Study of Learned Token Grouping in Vision Transformers</w:t>
      </w:r>
    </w:p>
    <w:p>
      <w:pPr>
        <w:spacing w:after="200"/>
        <w:jc w:val="center"/>
      </w:pPr>
      <w:r>
        <w:rPr>
          <w:b w:val="0"/>
          <w:i w:val="0"/>
          <w:sz w:val="20"/>
        </w:rPr>
        <w:t>Team: Dhruv Jyoti Das, Raghav Sharma   |   Guide: Dr. M. Eliazer, Associate Professor, Department of Computing Technologies</w:t>
      </w:r>
    </w:p>
    <w:p>
      <w:pPr>
        <w:pStyle w:val="Heading2"/>
      </w:pPr>
      <w:r>
        <w:t>1. Scope and method</w:t>
      </w:r>
    </w:p>
    <w:p>
      <w:r>
        <w:rPr>
          <w:b w:val="0"/>
          <w:i w:val="0"/>
          <w:sz w:val="20"/>
        </w:rPr>
        <w:t>The survey supports one question: what does learned token grouping in a vision transformer contribute beyond added capacity, and how should that be tested fairly? It covers 25 works in eight themes: token merging and pruning, hierarchical and adaptive tokenization, extra tokens and registers, object-centric and slot-based learning, dense features and emergent regions, evaluation rigour, causal emergence (the original motivation of the minor project), and our own prior work.</w:t>
      </w:r>
    </w:p>
    <w:p>
      <w:r>
        <w:rPr>
          <w:b w:val="0"/>
          <w:i w:val="0"/>
          <w:sz w:val="20"/>
        </w:rPr>
        <w:t>Selection. All 23 external works are from 2025 or 2026 (NeurIPS 2025, ICLR 2025 and 2026, ICML 2026, CVPR 2025 and 2026, IJCAI 2025, COLM 2025, TMLR 2025, IEEE TPAMI 2025, npj Complexity 2025, and arXiv preprints). Swin and PVT are listed only as background baselines. The two causal-emergence entries come from the reference list of the minor-project paper.</w:t>
      </w:r>
    </w:p>
    <w:p>
      <w:r>
        <w:rPr>
          <w:b w:val="0"/>
          <w:i w:val="0"/>
          <w:sz w:val="20"/>
        </w:rPr>
        <w:t>Sources and verification. Candidate works were found through the Lacuna ML research index (searches restricted to 2025 onward) and the minor-project reference list. Title, authors, venue and year of each entry were checked against the index record. The 'Setting', 'Key findings' and 'Limitations' columns were written from abstracts and index summaries, not from full texts. The full texts of the works most central to RO2 and RO4 (entries 10 to 18) will be read before Review I, and any correction made here. Entries 24 and 25 are our own work; entry 25 is an unpublished draft.</w:t>
      </w:r>
    </w:p>
    <w:p>
      <w:r>
        <w:rPr>
          <w:b w:val="0"/>
          <w:i/>
          <w:color w:val="5B6B77"/>
          <w:sz w:val="20"/>
        </w:rPr>
        <w:t>Reading the table. 'Limitations / research gap' states what is missing relative to this project, not a general criticism of the cited work.</w:t>
      </w:r>
    </w:p>
    <w:p>
      <w:pPr>
        <w:pStyle w:val="Heading2"/>
      </w:pPr>
      <w:r>
        <w:t>2. Literature survey table</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40" w:type="dxa"/>
          <w:left w:w="70" w:type="dxa"/>
          <w:bottom w:w="40" w:type="dxa"/>
          <w:right w:w="70" w:type="dxa"/>
        </w:tblCellMar>
        <w:tblLayout w:type="fixed"/>
      </w:tblPr>
      <w:tblGrid>
        <w:gridCol w:w="566"/>
        <w:gridCol w:w="2494"/>
        <w:gridCol w:w="3174"/>
        <w:gridCol w:w="2040"/>
        <w:gridCol w:w="2948"/>
        <w:gridCol w:w="3911"/>
      </w:tblGrid>
      <w:tr>
        <w:trPr>
          <w:tblHeader w:val="true"/>
        </w:trPr>
        <w:tc>
          <w:tcPr>
            <w:tcW w:type="dxa" w:w="567"/>
            <w:vAlign w:val="center"/>
            <w:shd w:val="clear" w:color="auto" w:fill="0F2A3D"/>
          </w:tcPr>
          <w:p>
            <w:pPr>
              <w:spacing w:after="0" w:before="0"/>
            </w:pPr>
            <w:r/>
            <w:r>
              <w:rPr>
                <w:b/>
                <w:i w:val="0"/>
                <w:color w:val="FFFFFF"/>
                <w:sz w:val="18"/>
              </w:rPr>
              <w:t>S.No</w:t>
            </w:r>
          </w:p>
        </w:tc>
        <w:tc>
          <w:tcPr>
            <w:tcW w:type="dxa" w:w="2494"/>
            <w:vAlign w:val="center"/>
            <w:shd w:val="clear" w:color="auto" w:fill="0F2A3D"/>
          </w:tcPr>
          <w:p>
            <w:pPr>
              <w:spacing w:after="0" w:before="0"/>
            </w:pPr>
            <w:r/>
            <w:r>
              <w:rPr>
                <w:b/>
                <w:i w:val="0"/>
                <w:color w:val="FFFFFF"/>
                <w:sz w:val="18"/>
              </w:rPr>
              <w:t>Reference (venue, year)</w:t>
            </w:r>
          </w:p>
        </w:tc>
        <w:tc>
          <w:tcPr>
            <w:tcW w:type="dxa" w:w="3175"/>
            <w:vAlign w:val="center"/>
            <w:shd w:val="clear" w:color="auto" w:fill="0F2A3D"/>
          </w:tcPr>
          <w:p>
            <w:pPr>
              <w:spacing w:after="0" w:before="0"/>
            </w:pPr>
            <w:r/>
            <w:r>
              <w:rPr>
                <w:b/>
                <w:i w:val="0"/>
                <w:color w:val="FFFFFF"/>
                <w:sz w:val="18"/>
              </w:rPr>
              <w:t>Technique / problem addressed</w:t>
            </w:r>
          </w:p>
        </w:tc>
        <w:tc>
          <w:tcPr>
            <w:tcW w:type="dxa" w:w="2041"/>
            <w:vAlign w:val="center"/>
            <w:shd w:val="clear" w:color="auto" w:fill="0F2A3D"/>
          </w:tcPr>
          <w:p>
            <w:pPr>
              <w:spacing w:after="0" w:before="0"/>
            </w:pPr>
            <w:r/>
            <w:r>
              <w:rPr>
                <w:b/>
                <w:i w:val="0"/>
                <w:color w:val="FFFFFF"/>
                <w:sz w:val="18"/>
              </w:rPr>
              <w:t>Setting (from abstract)</w:t>
            </w:r>
          </w:p>
        </w:tc>
        <w:tc>
          <w:tcPr>
            <w:tcW w:type="dxa" w:w="2948"/>
            <w:vAlign w:val="center"/>
            <w:shd w:val="clear" w:color="auto" w:fill="0F2A3D"/>
          </w:tcPr>
          <w:p>
            <w:pPr>
              <w:spacing w:after="0" w:before="0"/>
            </w:pPr>
            <w:r/>
            <w:r>
              <w:rPr>
                <w:b/>
                <w:i w:val="0"/>
                <w:color w:val="FFFFFF"/>
                <w:sz w:val="18"/>
              </w:rPr>
              <w:t>Key findings</w:t>
            </w:r>
          </w:p>
        </w:tc>
        <w:tc>
          <w:tcPr>
            <w:tcW w:type="dxa" w:w="3912"/>
            <w:vAlign w:val="center"/>
            <w:shd w:val="clear" w:color="auto" w:fill="0F2A3D"/>
          </w:tcPr>
          <w:p>
            <w:pPr>
              <w:spacing w:after="0" w:before="0"/>
            </w:pPr>
            <w:r/>
            <w:r>
              <w:rPr>
                <w:b/>
                <w:i w:val="0"/>
                <w:color w:val="FFFFFF"/>
                <w:sz w:val="18"/>
              </w:rPr>
              <w:t>Limitations / research gap for this project</w:t>
            </w:r>
          </w:p>
        </w:tc>
      </w:tr>
      <w:tr>
        <w:trPr>
          <w:cantSplit w:val="true"/>
        </w:trPr>
        <w:tc>
          <w:tcPr>
            <w:tcW w:type="dxa" w:w="3912"/>
            <w:gridSpan w:val="6"/>
            <w:vAlign w:val="center"/>
            <w:shd w:val="clear" w:color="auto" w:fill="D3E3E9"/>
          </w:tcPr>
          <w:p>
            <w:pPr>
              <w:keepNext/>
              <w:spacing w:after="0" w:before="0"/>
            </w:pPr>
            <w:r/>
            <w:r>
              <w:rPr>
                <w:b/>
                <w:i w:val="0"/>
                <w:color w:val="0F2A3D"/>
                <w:sz w:val="17"/>
              </w:rPr>
              <w:t>TOKEN MERGING AND PRUNING</w:t>
            </w:r>
          </w:p>
        </w:tc>
      </w:tr>
      <w:tr>
        <w:trPr>
          <w:cantSplit w:val="true"/>
        </w:trPr>
        <w:tc>
          <w:tcPr>
            <w:tcW w:type="dxa" w:w="567"/>
            <w:vAlign w:val="top"/>
          </w:tcPr>
          <w:p>
            <w:pPr>
              <w:spacing w:after="0" w:before="0"/>
            </w:pPr>
            <w:r/>
            <w:r>
              <w:rPr>
                <w:b w:val="0"/>
                <w:i w:val="0"/>
                <w:sz w:val="17"/>
              </w:rPr>
              <w:t>1</w:t>
            </w:r>
          </w:p>
        </w:tc>
        <w:tc>
          <w:tcPr>
            <w:tcW w:type="dxa" w:w="2494"/>
            <w:vAlign w:val="top"/>
          </w:tcPr>
          <w:p>
            <w:pPr>
              <w:spacing w:after="0" w:before="0"/>
            </w:pPr>
            <w:r/>
            <w:r>
              <w:rPr>
                <w:b/>
                <w:i w:val="0"/>
                <w:color w:val="0F2A3D"/>
                <w:sz w:val="17"/>
              </w:rPr>
              <w:t>Lee et al., Frequency-aware token reduction (NeurIPS 2025)</w:t>
            </w:r>
          </w:p>
        </w:tc>
        <w:tc>
          <w:tcPr>
            <w:tcW w:type="dxa" w:w="3175"/>
            <w:vAlign w:val="top"/>
          </w:tcPr>
          <w:p>
            <w:pPr>
              <w:spacing w:after="0" w:before="0"/>
            </w:pPr>
            <w:r/>
            <w:r>
              <w:rPr>
                <w:b w:val="0"/>
                <w:i w:val="0"/>
                <w:sz w:val="17"/>
              </w:rPr>
              <w:t>Token pruning and merging that accounts for the frequency characteristics of self-attention (for example rank collapsing) instead of attention scores alone.</w:t>
            </w:r>
          </w:p>
        </w:tc>
        <w:tc>
          <w:tcPr>
            <w:tcW w:type="dxa" w:w="2041"/>
            <w:vAlign w:val="top"/>
          </w:tcPr>
          <w:p>
            <w:pPr>
              <w:spacing w:after="0" w:before="0"/>
            </w:pPr>
            <w:r/>
            <w:r>
              <w:rPr>
                <w:b w:val="0"/>
                <w:i w:val="0"/>
                <w:sz w:val="17"/>
              </w:rPr>
              <w:t>Efficient ViT inference; token reduction.</w:t>
            </w:r>
          </w:p>
        </w:tc>
        <w:tc>
          <w:tcPr>
            <w:tcW w:type="dxa" w:w="2948"/>
            <w:vAlign w:val="top"/>
          </w:tcPr>
          <w:p>
            <w:pPr>
              <w:spacing w:after="0" w:before="0"/>
            </w:pPr>
            <w:r/>
            <w:r>
              <w:rPr>
                <w:b w:val="0"/>
                <w:i w:val="0"/>
                <w:sz w:val="17"/>
              </w:rPr>
              <w:t>Argues that ignoring the frequency behaviour of attention limits existing token-reduction methods.</w:t>
            </w:r>
          </w:p>
        </w:tc>
        <w:tc>
          <w:tcPr>
            <w:tcW w:type="dxa" w:w="3912"/>
            <w:vAlign w:val="top"/>
          </w:tcPr>
          <w:p>
            <w:pPr>
              <w:spacing w:after="0" w:before="0"/>
            </w:pPr>
            <w:r/>
            <w:r>
              <w:rPr>
                <w:b w:val="0"/>
                <w:i w:val="0"/>
                <w:sz w:val="17"/>
              </w:rPr>
              <w:t>Reduces tokens for efficiency on existing ViTs. It does not test whether learned grouping adds representation value beyond an equal-capacity control, nor the from-scratch small-image regime.</w:t>
            </w:r>
          </w:p>
        </w:tc>
      </w:tr>
      <w:tr>
        <w:trPr>
          <w:cantSplit w:val="true"/>
        </w:trPr>
        <w:tc>
          <w:tcPr>
            <w:tcW w:type="dxa" w:w="567"/>
            <w:vAlign w:val="top"/>
            <w:shd w:val="clear" w:color="auto" w:fill="F5F9FA"/>
          </w:tcPr>
          <w:p>
            <w:pPr>
              <w:spacing w:after="0" w:before="0"/>
            </w:pPr>
            <w:r/>
            <w:r>
              <w:rPr>
                <w:b w:val="0"/>
                <w:i w:val="0"/>
                <w:sz w:val="17"/>
              </w:rPr>
              <w:t>2</w:t>
            </w:r>
          </w:p>
        </w:tc>
        <w:tc>
          <w:tcPr>
            <w:tcW w:type="dxa" w:w="2494"/>
            <w:vAlign w:val="top"/>
            <w:shd w:val="clear" w:color="auto" w:fill="F5F9FA"/>
          </w:tcPr>
          <w:p>
            <w:pPr>
              <w:spacing w:after="0" w:before="0"/>
            </w:pPr>
            <w:r/>
            <w:r>
              <w:rPr>
                <w:b/>
                <w:i w:val="0"/>
                <w:color w:val="0F2A3D"/>
                <w:sz w:val="17"/>
              </w:rPr>
              <w:t>Xie et al., Saliency-driven token merging (CVPR 2026)</w:t>
            </w:r>
          </w:p>
        </w:tc>
        <w:tc>
          <w:tcPr>
            <w:tcW w:type="dxa" w:w="3175"/>
            <w:vAlign w:val="top"/>
            <w:shd w:val="clear" w:color="auto" w:fill="F5F9FA"/>
          </w:tcPr>
          <w:p>
            <w:pPr>
              <w:spacing w:after="0" w:before="0"/>
            </w:pPr>
            <w:r/>
            <w:r>
              <w:rPr>
                <w:b w:val="0"/>
                <w:i w:val="0"/>
                <w:sz w:val="17"/>
              </w:rPr>
              <w:t>Training-free merging that combines dynamic attention scores with offline visual saliency, merging 'saliency outlier' tokens.</w:t>
            </w:r>
          </w:p>
        </w:tc>
        <w:tc>
          <w:tcPr>
            <w:tcW w:type="dxa" w:w="2041"/>
            <w:vAlign w:val="top"/>
            <w:shd w:val="clear" w:color="auto" w:fill="F5F9FA"/>
          </w:tcPr>
          <w:p>
            <w:pPr>
              <w:spacing w:after="0" w:before="0"/>
            </w:pPr>
            <w:r/>
            <w:r>
              <w:rPr>
                <w:b w:val="0"/>
                <w:i w:val="0"/>
                <w:sz w:val="17"/>
              </w:rPr>
              <w:t>Inference acceleration of ViTs.</w:t>
            </w:r>
          </w:p>
        </w:tc>
        <w:tc>
          <w:tcPr>
            <w:tcW w:type="dxa" w:w="2948"/>
            <w:vAlign w:val="top"/>
            <w:shd w:val="clear" w:color="auto" w:fill="F5F9FA"/>
          </w:tcPr>
          <w:p>
            <w:pPr>
              <w:spacing w:after="0" w:before="0"/>
            </w:pPr>
            <w:r/>
            <w:r>
              <w:rPr>
                <w:b w:val="0"/>
                <w:i w:val="0"/>
                <w:sz w:val="17"/>
              </w:rPr>
              <w:t>Claims better merging decisions than methods that use attention characteristics alone.</w:t>
            </w:r>
          </w:p>
        </w:tc>
        <w:tc>
          <w:tcPr>
            <w:tcW w:type="dxa" w:w="3912"/>
            <w:vAlign w:val="top"/>
            <w:shd w:val="clear" w:color="auto" w:fill="F5F9FA"/>
          </w:tcPr>
          <w:p>
            <w:pPr>
              <w:spacing w:after="0" w:before="0"/>
            </w:pPr>
            <w:r/>
            <w:r>
              <w:rPr>
                <w:b w:val="0"/>
                <w:i w:val="0"/>
                <w:sz w:val="17"/>
              </w:rPr>
              <w:t>Training-free and inference-time: nothing is learned about grouping, so it says nothing about grouping as a trained representation component.</w:t>
            </w:r>
          </w:p>
        </w:tc>
      </w:tr>
      <w:tr>
        <w:trPr>
          <w:cantSplit w:val="true"/>
        </w:trPr>
        <w:tc>
          <w:tcPr>
            <w:tcW w:type="dxa" w:w="567"/>
            <w:vAlign w:val="top"/>
          </w:tcPr>
          <w:p>
            <w:pPr>
              <w:spacing w:after="0" w:before="0"/>
            </w:pPr>
            <w:r/>
            <w:r>
              <w:rPr>
                <w:b w:val="0"/>
                <w:i w:val="0"/>
                <w:sz w:val="17"/>
              </w:rPr>
              <w:t>3</w:t>
            </w:r>
          </w:p>
        </w:tc>
        <w:tc>
          <w:tcPr>
            <w:tcW w:type="dxa" w:w="2494"/>
            <w:vAlign w:val="top"/>
          </w:tcPr>
          <w:p>
            <w:pPr>
              <w:spacing w:after="0" w:before="0"/>
            </w:pPr>
            <w:r/>
            <w:r>
              <w:rPr>
                <w:b/>
                <w:i w:val="0"/>
                <w:color w:val="0F2A3D"/>
                <w:sz w:val="17"/>
              </w:rPr>
              <w:t>Zhou et al., Calibrated scaling for token merging (ICML 2026)</w:t>
            </w:r>
          </w:p>
        </w:tc>
        <w:tc>
          <w:tcPr>
            <w:tcW w:type="dxa" w:w="3175"/>
            <w:vAlign w:val="top"/>
          </w:tcPr>
          <w:p>
            <w:pPr>
              <w:spacing w:after="0" w:before="0"/>
            </w:pPr>
            <w:r/>
            <w:r>
              <w:rPr>
                <w:b w:val="0"/>
                <w:i w:val="0"/>
                <w:sz w:val="17"/>
              </w:rPr>
              <w:t>Shows that merging distorts attention outputs and shifts residual-stream statistics, and proposes statistically calibrated scaling to correct it.</w:t>
            </w:r>
          </w:p>
        </w:tc>
        <w:tc>
          <w:tcPr>
            <w:tcW w:type="dxa" w:w="2041"/>
            <w:vAlign w:val="top"/>
          </w:tcPr>
          <w:p>
            <w:pPr>
              <w:spacing w:after="0" w:before="0"/>
            </w:pPr>
            <w:r/>
            <w:r>
              <w:rPr>
                <w:b w:val="0"/>
                <w:i w:val="0"/>
                <w:sz w:val="17"/>
              </w:rPr>
              <w:t>Transformers under aggressive merging ratios.</w:t>
            </w:r>
          </w:p>
        </w:tc>
        <w:tc>
          <w:tcPr>
            <w:tcW w:type="dxa" w:w="2948"/>
            <w:vAlign w:val="top"/>
          </w:tcPr>
          <w:p>
            <w:pPr>
              <w:spacing w:after="0" w:before="0"/>
            </w:pPr>
            <w:r/>
            <w:r>
              <w:rPr>
                <w:b w:val="0"/>
                <w:i w:val="0"/>
                <w:sz w:val="17"/>
              </w:rPr>
              <w:t>Existing heuristics such as proportional attention degrade sharply at high compression; calibration targets that regime.</w:t>
            </w:r>
          </w:p>
        </w:tc>
        <w:tc>
          <w:tcPr>
            <w:tcW w:type="dxa" w:w="3912"/>
            <w:vAlign w:val="top"/>
          </w:tcPr>
          <w:p>
            <w:pPr>
              <w:spacing w:after="0" w:before="0"/>
            </w:pPr>
            <w:r/>
            <w:r>
              <w:rPr>
                <w:b w:val="0"/>
                <w:i w:val="0"/>
                <w:sz w:val="17"/>
              </w:rPr>
              <w:t>Documents the failure mode of merging at high compression. Our design keeps the full micro stream and adds macro tokens, a different trade-off that is not compared.</w:t>
            </w:r>
          </w:p>
        </w:tc>
      </w:tr>
      <w:tr>
        <w:trPr>
          <w:cantSplit w:val="true"/>
        </w:trPr>
        <w:tc>
          <w:tcPr>
            <w:tcW w:type="dxa" w:w="567"/>
            <w:vAlign w:val="top"/>
            <w:shd w:val="clear" w:color="auto" w:fill="F5F9FA"/>
          </w:tcPr>
          <w:p>
            <w:pPr>
              <w:spacing w:after="0" w:before="0"/>
            </w:pPr>
            <w:r/>
            <w:r>
              <w:rPr>
                <w:b w:val="0"/>
                <w:i w:val="0"/>
                <w:sz w:val="17"/>
              </w:rPr>
              <w:t>4</w:t>
            </w:r>
          </w:p>
        </w:tc>
        <w:tc>
          <w:tcPr>
            <w:tcW w:type="dxa" w:w="2494"/>
            <w:vAlign w:val="top"/>
            <w:shd w:val="clear" w:color="auto" w:fill="F5F9FA"/>
          </w:tcPr>
          <w:p>
            <w:pPr>
              <w:spacing w:after="0" w:before="0"/>
            </w:pPr>
            <w:r/>
            <w:r>
              <w:rPr>
                <w:b/>
                <w:i w:val="0"/>
                <w:color w:val="0F2A3D"/>
                <w:sz w:val="17"/>
              </w:rPr>
              <w:t>Schlesinger et al., SPOT (CVPR 2026 Findings)</w:t>
            </w:r>
          </w:p>
        </w:tc>
        <w:tc>
          <w:tcPr>
            <w:tcW w:type="dxa" w:w="3175"/>
            <w:vAlign w:val="top"/>
            <w:shd w:val="clear" w:color="auto" w:fill="F5F9FA"/>
          </w:tcPr>
          <w:p>
            <w:pPr>
              <w:spacing w:after="0" w:before="0"/>
            </w:pPr>
            <w:r/>
            <w:r>
              <w:rPr>
                <w:b w:val="0"/>
                <w:i w:val="0"/>
                <w:sz w:val="17"/>
              </w:rPr>
              <w:t>Lightweight plug-and-play framework that uses compact attention representations to prune redundant tokens before attention is computed.</w:t>
            </w:r>
          </w:p>
        </w:tc>
        <w:tc>
          <w:tcPr>
            <w:tcW w:type="dxa" w:w="2041"/>
            <w:vAlign w:val="top"/>
            <w:shd w:val="clear" w:color="auto" w:fill="F5F9FA"/>
          </w:tcPr>
          <w:p>
            <w:pPr>
              <w:spacing w:after="0" w:before="0"/>
            </w:pPr>
            <w:r/>
            <w:r>
              <w:rPr>
                <w:b w:val="0"/>
                <w:i w:val="0"/>
                <w:sz w:val="17"/>
              </w:rPr>
              <w:t>Pretrained ViTs; quadratic attention cost.</w:t>
            </w:r>
          </w:p>
        </w:tc>
        <w:tc>
          <w:tcPr>
            <w:tcW w:type="dxa" w:w="2948"/>
            <w:vAlign w:val="top"/>
            <w:shd w:val="clear" w:color="auto" w:fill="F5F9FA"/>
          </w:tcPr>
          <w:p>
            <w:pPr>
              <w:spacing w:after="0" w:before="0"/>
            </w:pPr>
            <w:r/>
            <w:r>
              <w:rPr>
                <w:b w:val="0"/>
                <w:i w:val="0"/>
                <w:sz w:val="17"/>
              </w:rPr>
              <w:t>Early detection of less salient tokens reduces computation.</w:t>
            </w:r>
          </w:p>
        </w:tc>
        <w:tc>
          <w:tcPr>
            <w:tcW w:type="dxa" w:w="3912"/>
            <w:vAlign w:val="top"/>
            <w:shd w:val="clear" w:color="auto" w:fill="F5F9FA"/>
          </w:tcPr>
          <w:p>
            <w:pPr>
              <w:spacing w:after="0" w:before="0"/>
            </w:pPr>
            <w:r/>
            <w:r>
              <w:rPr>
                <w:b w:val="0"/>
                <w:i w:val="0"/>
                <w:sz w:val="17"/>
              </w:rPr>
              <w:t>Pruning discards tokens irreversibly and is aimed at inference cost, not at the question of what learned grouping represents.</w:t>
            </w:r>
          </w:p>
        </w:tc>
      </w:tr>
      <w:tr>
        <w:trPr>
          <w:cantSplit w:val="true"/>
        </w:trPr>
        <w:tc>
          <w:tcPr>
            <w:tcW w:type="dxa" w:w="567"/>
            <w:vAlign w:val="top"/>
          </w:tcPr>
          <w:p>
            <w:pPr>
              <w:spacing w:after="0" w:before="0"/>
            </w:pPr>
            <w:r/>
            <w:r>
              <w:rPr>
                <w:b w:val="0"/>
                <w:i w:val="0"/>
                <w:sz w:val="17"/>
              </w:rPr>
              <w:t>5</w:t>
            </w:r>
          </w:p>
        </w:tc>
        <w:tc>
          <w:tcPr>
            <w:tcW w:type="dxa" w:w="2494"/>
            <w:vAlign w:val="top"/>
          </w:tcPr>
          <w:p>
            <w:pPr>
              <w:spacing w:after="0" w:before="0"/>
            </w:pPr>
            <w:r/>
            <w:r>
              <w:rPr>
                <w:b/>
                <w:i w:val="0"/>
                <w:color w:val="0F2A3D"/>
                <w:sz w:val="17"/>
              </w:rPr>
              <w:t>Wang &amp; Yang, LTM-Transformer (IEEE TPAMI 2025)</w:t>
            </w:r>
          </w:p>
        </w:tc>
        <w:tc>
          <w:tcPr>
            <w:tcW w:type="dxa" w:w="3175"/>
            <w:vAlign w:val="top"/>
          </w:tcPr>
          <w:p>
            <w:pPr>
              <w:spacing w:after="0" w:before="0"/>
            </w:pPr>
            <w:r/>
            <w:r>
              <w:rPr>
                <w:b w:val="0"/>
                <w:i w:val="0"/>
                <w:sz w:val="17"/>
              </w:rPr>
              <w:t>Learnable Token Merging (LTM): learned merging of redundant tokens, guided by an information-bottleneck objective.</w:t>
            </w:r>
          </w:p>
        </w:tc>
        <w:tc>
          <w:tcPr>
            <w:tcW w:type="dxa" w:w="2041"/>
            <w:vAlign w:val="top"/>
          </w:tcPr>
          <w:p>
            <w:pPr>
              <w:spacing w:after="0" w:before="0"/>
            </w:pPr>
            <w:r/>
            <w:r>
              <w:rPr>
                <w:b w:val="0"/>
                <w:i w:val="0"/>
                <w:sz w:val="17"/>
              </w:rPr>
              <w:t>ViT acceleration; edge deployment.</w:t>
            </w:r>
          </w:p>
        </w:tc>
        <w:tc>
          <w:tcPr>
            <w:tcW w:type="dxa" w:w="2948"/>
            <w:vAlign w:val="top"/>
          </w:tcPr>
          <w:p>
            <w:pPr>
              <w:spacing w:after="0" w:before="0"/>
            </w:pPr>
            <w:r/>
            <w:r>
              <w:rPr>
                <w:b w:val="0"/>
                <w:i w:val="0"/>
                <w:sz w:val="17"/>
              </w:rPr>
              <w:t>Learned merging improves the accuracy-efficiency trade-off over fixed merging rules.</w:t>
            </w:r>
          </w:p>
        </w:tc>
        <w:tc>
          <w:tcPr>
            <w:tcW w:type="dxa" w:w="3912"/>
            <w:vAlign w:val="top"/>
          </w:tcPr>
          <w:p>
            <w:pPr>
              <w:spacing w:after="0" w:before="0"/>
            </w:pPr>
            <w:r/>
            <w:r>
              <w:rPr>
                <w:b w:val="0"/>
                <w:i w:val="0"/>
                <w:sz w:val="17"/>
              </w:rPr>
              <w:t>Closest learned-merging baseline, but we found no usable public implementation: two re-implementation attempts (about 100 GPU-hours) diverged, so it remains an unverified baseline.</w:t>
            </w:r>
          </w:p>
        </w:tc>
      </w:tr>
      <w:tr>
        <w:trPr>
          <w:cantSplit w:val="true"/>
        </w:trPr>
        <w:tc>
          <w:tcPr>
            <w:tcW w:type="dxa" w:w="3912"/>
            <w:gridSpan w:val="6"/>
            <w:vAlign w:val="center"/>
            <w:shd w:val="clear" w:color="auto" w:fill="D3E3E9"/>
          </w:tcPr>
          <w:p>
            <w:pPr>
              <w:keepNext/>
              <w:spacing w:after="0" w:before="0"/>
            </w:pPr>
            <w:r/>
            <w:r>
              <w:rPr>
                <w:b/>
                <w:i w:val="0"/>
                <w:color w:val="0F2A3D"/>
                <w:sz w:val="17"/>
              </w:rPr>
              <w:t>HIERARCHICAL AND ADAPTIVE TOKENIZATION</w:t>
            </w:r>
          </w:p>
        </w:tc>
      </w:tr>
      <w:tr>
        <w:trPr>
          <w:cantSplit w:val="true"/>
        </w:trPr>
        <w:tc>
          <w:tcPr>
            <w:tcW w:type="dxa" w:w="567"/>
            <w:vAlign w:val="top"/>
            <w:shd w:val="clear" w:color="auto" w:fill="F5F9FA"/>
          </w:tcPr>
          <w:p>
            <w:pPr>
              <w:spacing w:after="0" w:before="0"/>
            </w:pPr>
            <w:r/>
            <w:r>
              <w:rPr>
                <w:b w:val="0"/>
                <w:i w:val="0"/>
                <w:sz w:val="17"/>
              </w:rPr>
              <w:t>6</w:t>
            </w:r>
          </w:p>
        </w:tc>
        <w:tc>
          <w:tcPr>
            <w:tcW w:type="dxa" w:w="2494"/>
            <w:vAlign w:val="top"/>
            <w:shd w:val="clear" w:color="auto" w:fill="F5F9FA"/>
          </w:tcPr>
          <w:p>
            <w:pPr>
              <w:spacing w:after="0" w:before="0"/>
            </w:pPr>
            <w:r/>
            <w:r>
              <w:rPr>
                <w:b/>
                <w:i w:val="0"/>
                <w:color w:val="0F2A3D"/>
                <w:sz w:val="17"/>
              </w:rPr>
              <w:t>Yu et al., Stepwise patch merging (IJCAI 2025)</w:t>
            </w:r>
          </w:p>
        </w:tc>
        <w:tc>
          <w:tcPr>
            <w:tcW w:type="dxa" w:w="3175"/>
            <w:vAlign w:val="top"/>
            <w:shd w:val="clear" w:color="auto" w:fill="F5F9FA"/>
          </w:tcPr>
          <w:p>
            <w:pPr>
              <w:spacing w:after="0" w:before="0"/>
            </w:pPr>
            <w:r/>
            <w:r>
              <w:rPr>
                <w:b w:val="0"/>
                <w:i w:val="0"/>
                <w:sz w:val="17"/>
              </w:rPr>
              <w:t>Replaces the rigid fixed-grid down-sampling (for example strided convolution) of hierarchical ViTs with a brain-inspired, stepwise patch-merging scheme.</w:t>
            </w:r>
          </w:p>
        </w:tc>
        <w:tc>
          <w:tcPr>
            <w:tcW w:type="dxa" w:w="2041"/>
            <w:vAlign w:val="top"/>
            <w:shd w:val="clear" w:color="auto" w:fill="F5F9FA"/>
          </w:tcPr>
          <w:p>
            <w:pPr>
              <w:spacing w:after="0" w:before="0"/>
            </w:pPr>
            <w:r/>
            <w:r>
              <w:rPr>
                <w:b w:val="0"/>
                <w:i w:val="0"/>
                <w:sz w:val="17"/>
              </w:rPr>
              <w:t>Hierarchical vision transformers.</w:t>
            </w:r>
          </w:p>
        </w:tc>
        <w:tc>
          <w:tcPr>
            <w:tcW w:type="dxa" w:w="2948"/>
            <w:vAlign w:val="top"/>
            <w:shd w:val="clear" w:color="auto" w:fill="F5F9FA"/>
          </w:tcPr>
          <w:p>
            <w:pPr>
              <w:spacing w:after="0" w:before="0"/>
            </w:pPr>
            <w:r/>
            <w:r>
              <w:rPr>
                <w:b w:val="0"/>
                <w:i w:val="0"/>
                <w:sz w:val="17"/>
              </w:rPr>
              <w:t>Argues that fixed-grid merging treats all pixels equally and misses multi-scale structure.</w:t>
            </w:r>
          </w:p>
        </w:tc>
        <w:tc>
          <w:tcPr>
            <w:tcW w:type="dxa" w:w="3912"/>
            <w:vAlign w:val="top"/>
            <w:shd w:val="clear" w:color="auto" w:fill="F5F9FA"/>
          </w:tcPr>
          <w:p>
            <w:pPr>
              <w:spacing w:after="0" w:before="0"/>
            </w:pPr>
            <w:r/>
            <w:r>
              <w:rPr>
                <w:b w:val="0"/>
                <w:i w:val="0"/>
                <w:sz w:val="17"/>
              </w:rPr>
              <w:t>Still a designed merging schedule rather than content-driven grouping; a relevant member of the Swin-style comparator family for RO2.</w:t>
            </w:r>
          </w:p>
        </w:tc>
      </w:tr>
      <w:tr>
        <w:trPr>
          <w:cantSplit w:val="true"/>
        </w:trPr>
        <w:tc>
          <w:tcPr>
            <w:tcW w:type="dxa" w:w="567"/>
            <w:vAlign w:val="top"/>
          </w:tcPr>
          <w:p>
            <w:pPr>
              <w:spacing w:after="0" w:before="0"/>
            </w:pPr>
            <w:r/>
            <w:r>
              <w:rPr>
                <w:b w:val="0"/>
                <w:i w:val="0"/>
                <w:sz w:val="17"/>
              </w:rPr>
              <w:t>7</w:t>
            </w:r>
          </w:p>
        </w:tc>
        <w:tc>
          <w:tcPr>
            <w:tcW w:type="dxa" w:w="2494"/>
            <w:vAlign w:val="top"/>
          </w:tcPr>
          <w:p>
            <w:pPr>
              <w:spacing w:after="0" w:before="0"/>
            </w:pPr>
            <w:r/>
            <w:r>
              <w:rPr>
                <w:b/>
                <w:i w:val="0"/>
                <w:color w:val="0F2A3D"/>
                <w:sz w:val="17"/>
              </w:rPr>
              <w:t>Yin et al., DART (arXiv 2025)</w:t>
            </w:r>
          </w:p>
        </w:tc>
        <w:tc>
          <w:tcPr>
            <w:tcW w:type="dxa" w:w="3175"/>
            <w:vAlign w:val="top"/>
          </w:tcPr>
          <w:p>
            <w:pPr>
              <w:spacing w:after="0" w:before="0"/>
            </w:pPr>
            <w:r/>
            <w:r>
              <w:rPr>
                <w:b w:val="0"/>
                <w:i w:val="0"/>
                <w:sz w:val="17"/>
              </w:rPr>
              <w:t>Fully differentiable tokenizer that forms dynamic, content-adaptive regions in place of the fixed-grid tokenizer of ViT and Vision Mamba.</w:t>
            </w:r>
          </w:p>
        </w:tc>
        <w:tc>
          <w:tcPr>
            <w:tcW w:type="dxa" w:w="2041"/>
            <w:vAlign w:val="top"/>
          </w:tcPr>
          <w:p>
            <w:pPr>
              <w:spacing w:after="0" w:before="0"/>
            </w:pPr>
            <w:r/>
            <w:r>
              <w:rPr>
                <w:b w:val="0"/>
                <w:i w:val="0"/>
                <w:sz w:val="17"/>
              </w:rPr>
              <w:t>ViT and Vim backbones.</w:t>
            </w:r>
          </w:p>
        </w:tc>
        <w:tc>
          <w:tcPr>
            <w:tcW w:type="dxa" w:w="2948"/>
            <w:vAlign w:val="top"/>
          </w:tcPr>
          <w:p>
            <w:pPr>
              <w:spacing w:after="0" w:before="0"/>
            </w:pPr>
            <w:r/>
            <w:r>
              <w:rPr>
                <w:b w:val="0"/>
                <w:i w:val="0"/>
                <w:sz w:val="17"/>
              </w:rPr>
              <w:t>Argues fixed-grid tokenizers force a trade-off between fine detail and redundant computation.</w:t>
            </w:r>
          </w:p>
        </w:tc>
        <w:tc>
          <w:tcPr>
            <w:tcW w:type="dxa" w:w="3912"/>
            <w:vAlign w:val="top"/>
          </w:tcPr>
          <w:p>
            <w:pPr>
              <w:spacing w:after="0" w:before="0"/>
            </w:pPr>
            <w:r/>
            <w:r>
              <w:rPr>
                <w:b w:val="0"/>
                <w:i w:val="0"/>
                <w:sz w:val="17"/>
              </w:rPr>
              <w:t>Adapts tokenization at the input; our branch groups tokens mid-network. Neither has been compared under matched capacity and per-arm tuning.</w:t>
            </w:r>
          </w:p>
        </w:tc>
      </w:tr>
      <w:tr>
        <w:trPr>
          <w:cantSplit w:val="true"/>
        </w:trPr>
        <w:tc>
          <w:tcPr>
            <w:tcW w:type="dxa" w:w="567"/>
            <w:vAlign w:val="top"/>
            <w:shd w:val="clear" w:color="auto" w:fill="F5F9FA"/>
          </w:tcPr>
          <w:p>
            <w:pPr>
              <w:spacing w:after="0" w:before="0"/>
            </w:pPr>
            <w:r/>
            <w:r>
              <w:rPr>
                <w:b w:val="0"/>
                <w:i w:val="0"/>
                <w:sz w:val="17"/>
              </w:rPr>
              <w:t>8</w:t>
            </w:r>
          </w:p>
        </w:tc>
        <w:tc>
          <w:tcPr>
            <w:tcW w:type="dxa" w:w="2494"/>
            <w:vAlign w:val="top"/>
            <w:shd w:val="clear" w:color="auto" w:fill="F5F9FA"/>
          </w:tcPr>
          <w:p>
            <w:pPr>
              <w:spacing w:after="0" w:before="0"/>
            </w:pPr>
            <w:r/>
            <w:r>
              <w:rPr>
                <w:b/>
                <w:i w:val="0"/>
                <w:color w:val="0F2A3D"/>
                <w:sz w:val="17"/>
              </w:rPr>
              <w:t>Duggal et al., Adaptive-length tokenization (ICLR 2025)</w:t>
            </w:r>
          </w:p>
        </w:tc>
        <w:tc>
          <w:tcPr>
            <w:tcW w:type="dxa" w:w="3175"/>
            <w:vAlign w:val="top"/>
            <w:shd w:val="clear" w:color="auto" w:fill="F5F9FA"/>
          </w:tcPr>
          <w:p>
            <w:pPr>
              <w:spacing w:after="0" w:before="0"/>
            </w:pPr>
            <w:r/>
            <w:r>
              <w:rPr>
                <w:b w:val="0"/>
                <w:i w:val="0"/>
                <w:sz w:val="17"/>
              </w:rPr>
              <w:t>Learns variable-length token representations for 2D images, allocating more tokens to higher-entropy content.</w:t>
            </w:r>
          </w:p>
        </w:tc>
        <w:tc>
          <w:tcPr>
            <w:tcW w:type="dxa" w:w="2041"/>
            <w:vAlign w:val="top"/>
            <w:shd w:val="clear" w:color="auto" w:fill="F5F9FA"/>
          </w:tcPr>
          <w:p>
            <w:pPr>
              <w:spacing w:after="0" w:before="0"/>
            </w:pPr>
            <w:r/>
            <w:r>
              <w:rPr>
                <w:b w:val="0"/>
                <w:i w:val="0"/>
                <w:sz w:val="17"/>
              </w:rPr>
              <w:t>Image tokenization.</w:t>
            </w:r>
          </w:p>
        </w:tc>
        <w:tc>
          <w:tcPr>
            <w:tcW w:type="dxa" w:w="2948"/>
            <w:vAlign w:val="top"/>
            <w:shd w:val="clear" w:color="auto" w:fill="F5F9FA"/>
          </w:tcPr>
          <w:p>
            <w:pPr>
              <w:spacing w:after="0" w:before="0"/>
            </w:pPr>
            <w:r/>
            <w:r>
              <w:rPr>
                <w:b w:val="0"/>
                <w:i w:val="0"/>
                <w:sz w:val="17"/>
              </w:rPr>
              <w:t>Shows that token count can follow image complexity instead of being fixed.</w:t>
            </w:r>
          </w:p>
        </w:tc>
        <w:tc>
          <w:tcPr>
            <w:tcW w:type="dxa" w:w="3912"/>
            <w:vAlign w:val="top"/>
            <w:shd w:val="clear" w:color="auto" w:fill="F5F9FA"/>
          </w:tcPr>
          <w:p>
            <w:pPr>
              <w:spacing w:after="0" w:before="0"/>
            </w:pPr>
            <w:r/>
            <w:r>
              <w:rPr>
                <w:b w:val="0"/>
                <w:i w:val="0"/>
                <w:sz w:val="17"/>
              </w:rPr>
              <w:t>Motivates content-dependent granularity, but in a tokenizer setting; our minor project's 'dynamic K' claim failed verification, so this question is open for classifiers.</w:t>
            </w:r>
          </w:p>
        </w:tc>
      </w:tr>
      <w:tr>
        <w:trPr>
          <w:cantSplit w:val="true"/>
        </w:trPr>
        <w:tc>
          <w:tcPr>
            <w:tcW w:type="dxa" w:w="567"/>
            <w:vAlign w:val="top"/>
          </w:tcPr>
          <w:p>
            <w:pPr>
              <w:spacing w:after="0" w:before="0"/>
            </w:pPr>
            <w:r/>
            <w:r>
              <w:rPr>
                <w:b w:val="0"/>
                <w:i w:val="0"/>
                <w:sz w:val="17"/>
              </w:rPr>
              <w:t>9</w:t>
            </w:r>
          </w:p>
        </w:tc>
        <w:tc>
          <w:tcPr>
            <w:tcW w:type="dxa" w:w="2494"/>
            <w:vAlign w:val="top"/>
          </w:tcPr>
          <w:p>
            <w:pPr>
              <w:spacing w:after="0" w:before="0"/>
            </w:pPr>
            <w:r/>
            <w:r>
              <w:rPr>
                <w:b/>
                <w:i w:val="0"/>
                <w:color w:val="0F2A3D"/>
                <w:sz w:val="17"/>
              </w:rPr>
              <w:t>Khadka et al., CoSwin (arXiv 2025)</w:t>
            </w:r>
          </w:p>
        </w:tc>
        <w:tc>
          <w:tcPr>
            <w:tcW w:type="dxa" w:w="3175"/>
            <w:vAlign w:val="top"/>
          </w:tcPr>
          <w:p>
            <w:pPr>
              <w:spacing w:after="0" w:before="0"/>
            </w:pPr>
            <w:r/>
            <w:r>
              <w:rPr>
                <w:b w:val="0"/>
                <w:i w:val="0"/>
                <w:sz w:val="17"/>
              </w:rPr>
              <w:t>Adds convolutional locality to a hierarchical shifted-window ViT for small datasets.</w:t>
            </w:r>
          </w:p>
        </w:tc>
        <w:tc>
          <w:tcPr>
            <w:tcW w:type="dxa" w:w="2041"/>
            <w:vAlign w:val="top"/>
          </w:tcPr>
          <w:p>
            <w:pPr>
              <w:spacing w:after="0" w:before="0"/>
            </w:pPr>
            <w:r/>
            <w:r>
              <w:rPr>
                <w:b w:val="0"/>
                <w:i w:val="0"/>
                <w:sz w:val="17"/>
              </w:rPr>
              <w:t>Small-scale vision data sets.</w:t>
            </w:r>
          </w:p>
        </w:tc>
        <w:tc>
          <w:tcPr>
            <w:tcW w:type="dxa" w:w="2948"/>
            <w:vAlign w:val="top"/>
          </w:tcPr>
          <w:p>
            <w:pPr>
              <w:spacing w:after="0" w:before="0"/>
            </w:pPr>
            <w:r/>
            <w:r>
              <w:rPr>
                <w:b w:val="0"/>
                <w:i w:val="0"/>
                <w:sz w:val="17"/>
              </w:rPr>
              <w:t>Small-data ViTs lack locality and translation equivariance; hierarchical designs need such inductive biases.</w:t>
            </w:r>
          </w:p>
        </w:tc>
        <w:tc>
          <w:tcPr>
            <w:tcW w:type="dxa" w:w="3912"/>
            <w:vAlign w:val="top"/>
          </w:tcPr>
          <w:p>
            <w:pPr>
              <w:spacing w:after="0" w:before="0"/>
            </w:pPr>
            <w:r/>
            <w:r>
              <w:rPr>
                <w:b w:val="0"/>
                <w:i w:val="0"/>
                <w:sz w:val="17"/>
              </w:rPr>
              <w:t>Same small-data regime as ours, with a hand-designed prior. It is a relevant baseline for RO2 and RO3.</w:t>
            </w:r>
          </w:p>
        </w:tc>
      </w:tr>
      <w:tr>
        <w:trPr>
          <w:cantSplit w:val="true"/>
        </w:trPr>
        <w:tc>
          <w:tcPr>
            <w:tcW w:type="dxa" w:w="3912"/>
            <w:gridSpan w:val="6"/>
            <w:vAlign w:val="center"/>
            <w:shd w:val="clear" w:color="auto" w:fill="D3E3E9"/>
          </w:tcPr>
          <w:p>
            <w:pPr>
              <w:keepNext/>
              <w:spacing w:after="0" w:before="0"/>
            </w:pPr>
            <w:r/>
            <w:r>
              <w:rPr>
                <w:b/>
                <w:i w:val="0"/>
                <w:color w:val="0F2A3D"/>
                <w:sz w:val="17"/>
              </w:rPr>
              <w:t>EXTRA TOKENS AND REGISTERS</w:t>
            </w:r>
          </w:p>
        </w:tc>
      </w:tr>
      <w:tr>
        <w:trPr>
          <w:cantSplit w:val="true"/>
        </w:trPr>
        <w:tc>
          <w:tcPr>
            <w:tcW w:type="dxa" w:w="567"/>
            <w:vAlign w:val="top"/>
            <w:shd w:val="clear" w:color="auto" w:fill="F5F9FA"/>
          </w:tcPr>
          <w:p>
            <w:pPr>
              <w:spacing w:after="0" w:before="0"/>
            </w:pPr>
            <w:r/>
            <w:r>
              <w:rPr>
                <w:b w:val="0"/>
                <w:i w:val="0"/>
                <w:sz w:val="17"/>
              </w:rPr>
              <w:t>10</w:t>
            </w:r>
          </w:p>
        </w:tc>
        <w:tc>
          <w:tcPr>
            <w:tcW w:type="dxa" w:w="2494"/>
            <w:vAlign w:val="top"/>
            <w:shd w:val="clear" w:color="auto" w:fill="F5F9FA"/>
          </w:tcPr>
          <w:p>
            <w:pPr>
              <w:spacing w:after="0" w:before="0"/>
            </w:pPr>
            <w:r/>
            <w:r>
              <w:rPr>
                <w:b/>
                <w:i w:val="0"/>
                <w:color w:val="0F2A3D"/>
                <w:sz w:val="17"/>
              </w:rPr>
              <w:t>Jiang et al., ViTs don't need trained registers (NeurIPS 2025)</w:t>
            </w:r>
          </w:p>
        </w:tc>
        <w:tc>
          <w:tcPr>
            <w:tcW w:type="dxa" w:w="3175"/>
            <w:vAlign w:val="top"/>
            <w:shd w:val="clear" w:color="auto" w:fill="F5F9FA"/>
          </w:tcPr>
          <w:p>
            <w:pPr>
              <w:spacing w:after="0" w:before="0"/>
            </w:pPr>
            <w:r/>
            <w:r>
              <w:rPr>
                <w:b w:val="0"/>
                <w:i w:val="0"/>
                <w:sz w:val="17"/>
              </w:rPr>
              <w:t>Traces high-norm outlier tokens (as in CLIP and DINOv2) to a sparse set of neurons and removes the artifact without training registers.</w:t>
            </w:r>
          </w:p>
        </w:tc>
        <w:tc>
          <w:tcPr>
            <w:tcW w:type="dxa" w:w="2041"/>
            <w:vAlign w:val="top"/>
            <w:shd w:val="clear" w:color="auto" w:fill="F5F9FA"/>
          </w:tcPr>
          <w:p>
            <w:pPr>
              <w:spacing w:after="0" w:before="0"/>
            </w:pPr>
            <w:r/>
            <w:r>
              <w:rPr>
                <w:b w:val="0"/>
                <w:i w:val="0"/>
                <w:sz w:val="17"/>
              </w:rPr>
              <w:t>Pretrained CLIP and DINOv2 models.</w:t>
            </w:r>
          </w:p>
        </w:tc>
        <w:tc>
          <w:tcPr>
            <w:tcW w:type="dxa" w:w="2948"/>
            <w:vAlign w:val="top"/>
            <w:shd w:val="clear" w:color="auto" w:fill="F5F9FA"/>
          </w:tcPr>
          <w:p>
            <w:pPr>
              <w:spacing w:after="0" w:before="0"/>
            </w:pPr>
            <w:r/>
            <w:r>
              <w:rPr>
                <w:b w:val="0"/>
                <w:i w:val="0"/>
                <w:sz w:val="17"/>
              </w:rPr>
              <w:t>Outlier tokens and noisy attention maps can be fixed at test time.</w:t>
            </w:r>
          </w:p>
        </w:tc>
        <w:tc>
          <w:tcPr>
            <w:tcW w:type="dxa" w:w="3912"/>
            <w:vAlign w:val="top"/>
            <w:shd w:val="clear" w:color="auto" w:fill="F5F9FA"/>
          </w:tcPr>
          <w:p>
            <w:pPr>
              <w:spacing w:after="0" w:before="0"/>
            </w:pPr>
            <w:r/>
            <w:r>
              <w:rPr>
                <w:b w:val="0"/>
                <w:i w:val="0"/>
                <w:sz w:val="17"/>
              </w:rPr>
              <w:t>Shows that register effects have a mechanistic explanation, so our register-style control (arm R) must be interpreted by what extra tokens do, not only by capacity.</w:t>
            </w:r>
          </w:p>
        </w:tc>
      </w:tr>
      <w:tr>
        <w:trPr>
          <w:cantSplit w:val="true"/>
        </w:trPr>
        <w:tc>
          <w:tcPr>
            <w:tcW w:type="dxa" w:w="567"/>
            <w:vAlign w:val="top"/>
          </w:tcPr>
          <w:p>
            <w:pPr>
              <w:spacing w:after="0" w:before="0"/>
            </w:pPr>
            <w:r/>
            <w:r>
              <w:rPr>
                <w:b w:val="0"/>
                <w:i w:val="0"/>
                <w:sz w:val="17"/>
              </w:rPr>
              <w:t>11</w:t>
            </w:r>
          </w:p>
        </w:tc>
        <w:tc>
          <w:tcPr>
            <w:tcW w:type="dxa" w:w="2494"/>
            <w:vAlign w:val="top"/>
          </w:tcPr>
          <w:p>
            <w:pPr>
              <w:spacing w:after="0" w:before="0"/>
            </w:pPr>
            <w:r/>
            <w:r>
              <w:rPr>
                <w:b/>
                <w:i w:val="0"/>
                <w:color w:val="0F2A3D"/>
                <w:sz w:val="17"/>
              </w:rPr>
              <w:t>Yan et al., Self-distilled registers (NeurIPS 2025)</w:t>
            </w:r>
          </w:p>
        </w:tc>
        <w:tc>
          <w:tcPr>
            <w:tcW w:type="dxa" w:w="3175"/>
            <w:vAlign w:val="top"/>
          </w:tcPr>
          <w:p>
            <w:pPr>
              <w:spacing w:after="0" w:before="0"/>
            </w:pPr>
            <w:r/>
            <w:r>
              <w:rPr>
                <w:b w:val="0"/>
                <w:i w:val="0"/>
                <w:sz w:val="17"/>
              </w:rPr>
              <w:t>Post-hoc registers: adds register tokens to pretrained ViTs through self-distillation, without full retraining.</w:t>
            </w:r>
          </w:p>
        </w:tc>
        <w:tc>
          <w:tcPr>
            <w:tcW w:type="dxa" w:w="2041"/>
            <w:vAlign w:val="top"/>
          </w:tcPr>
          <w:p>
            <w:pPr>
              <w:spacing w:after="0" w:before="0"/>
            </w:pPr>
            <w:r/>
            <w:r>
              <w:rPr>
                <w:b w:val="0"/>
                <w:i w:val="0"/>
                <w:sz w:val="17"/>
              </w:rPr>
              <w:t>Pretrained ViTs; dense prediction.</w:t>
            </w:r>
          </w:p>
        </w:tc>
        <w:tc>
          <w:tcPr>
            <w:tcW w:type="dxa" w:w="2948"/>
            <w:vAlign w:val="top"/>
          </w:tcPr>
          <w:p>
            <w:pPr>
              <w:spacing w:after="0" w:before="0"/>
            </w:pPr>
            <w:r/>
            <w:r>
              <w:rPr>
                <w:b w:val="0"/>
                <w:i w:val="0"/>
                <w:sz w:val="17"/>
              </w:rPr>
              <w:t>Artifact tokens degrade segmentation-style tasks, and registers recover performance.</w:t>
            </w:r>
          </w:p>
        </w:tc>
        <w:tc>
          <w:tcPr>
            <w:tcW w:type="dxa" w:w="3912"/>
            <w:vAlign w:val="top"/>
          </w:tcPr>
          <w:p>
            <w:pPr>
              <w:spacing w:after="0" w:before="0"/>
            </w:pPr>
            <w:r/>
            <w:r>
              <w:rPr>
                <w:b w:val="0"/>
                <w:i w:val="0"/>
                <w:sz w:val="17"/>
              </w:rPr>
              <w:t>Registers are studied in large pretrained ViTs, not in small from-scratch hierarchical models.</w:t>
            </w:r>
          </w:p>
        </w:tc>
      </w:tr>
      <w:tr>
        <w:trPr>
          <w:cantSplit w:val="true"/>
        </w:trPr>
        <w:tc>
          <w:tcPr>
            <w:tcW w:type="dxa" w:w="567"/>
            <w:vAlign w:val="top"/>
            <w:shd w:val="clear" w:color="auto" w:fill="F5F9FA"/>
          </w:tcPr>
          <w:p>
            <w:pPr>
              <w:spacing w:after="0" w:before="0"/>
            </w:pPr>
            <w:r/>
            <w:r>
              <w:rPr>
                <w:b w:val="0"/>
                <w:i w:val="0"/>
                <w:sz w:val="17"/>
              </w:rPr>
              <w:t>12</w:t>
            </w:r>
          </w:p>
        </w:tc>
        <w:tc>
          <w:tcPr>
            <w:tcW w:type="dxa" w:w="2494"/>
            <w:vAlign w:val="top"/>
            <w:shd w:val="clear" w:color="auto" w:fill="F5F9FA"/>
          </w:tcPr>
          <w:p>
            <w:pPr>
              <w:spacing w:after="0" w:before="0"/>
            </w:pPr>
            <w:r/>
            <w:r>
              <w:rPr>
                <w:b/>
                <w:i w:val="0"/>
                <w:color w:val="0F2A3D"/>
                <w:sz w:val="17"/>
              </w:rPr>
              <w:t>Lappe &amp; Giese, Register and [CLS] tokens (NeurIPS 2025)</w:t>
            </w:r>
          </w:p>
        </w:tc>
        <w:tc>
          <w:tcPr>
            <w:tcW w:type="dxa" w:w="3175"/>
            <w:vAlign w:val="top"/>
            <w:shd w:val="clear" w:color="auto" w:fill="F5F9FA"/>
          </w:tcPr>
          <w:p>
            <w:pPr>
              <w:spacing w:after="0" w:before="0"/>
            </w:pPr>
            <w:r/>
            <w:r>
              <w:rPr>
                <w:b w:val="0"/>
                <w:i w:val="0"/>
                <w:sz w:val="17"/>
              </w:rPr>
              <w:t>Analyses how register tokens or internal skip connections decouple local patch features from the global [CLS] representation.</w:t>
            </w:r>
          </w:p>
        </w:tc>
        <w:tc>
          <w:tcPr>
            <w:tcW w:type="dxa" w:w="2041"/>
            <w:vAlign w:val="top"/>
            <w:shd w:val="clear" w:color="auto" w:fill="F5F9FA"/>
          </w:tcPr>
          <w:p>
            <w:pPr>
              <w:spacing w:after="0" w:before="0"/>
            </w:pPr>
            <w:r/>
            <w:r>
              <w:rPr>
                <w:b w:val="0"/>
                <w:i w:val="0"/>
                <w:sz w:val="17"/>
              </w:rPr>
              <w:t>Large pretrained ViTs such as DINOv2.</w:t>
            </w:r>
          </w:p>
        </w:tc>
        <w:tc>
          <w:tcPr>
            <w:tcW w:type="dxa" w:w="2948"/>
            <w:vAlign w:val="top"/>
            <w:shd w:val="clear" w:color="auto" w:fill="F5F9FA"/>
          </w:tcPr>
          <w:p>
            <w:pPr>
              <w:spacing w:after="0" w:before="0"/>
            </w:pPr>
            <w:r/>
            <w:r>
              <w:rPr>
                <w:b w:val="0"/>
                <w:i w:val="0"/>
                <w:sz w:val="17"/>
              </w:rPr>
              <w:t>High-performing models rely on registers or skip connections to route global information.</w:t>
            </w:r>
          </w:p>
        </w:tc>
        <w:tc>
          <w:tcPr>
            <w:tcW w:type="dxa" w:w="3912"/>
            <w:vAlign w:val="top"/>
            <w:shd w:val="clear" w:color="auto" w:fill="F5F9FA"/>
          </w:tcPr>
          <w:p>
            <w:pPr>
              <w:spacing w:after="0" w:before="0"/>
            </w:pPr>
            <w:r/>
            <w:r>
              <w:rPr>
                <w:b w:val="0"/>
                <w:i w:val="0"/>
                <w:sz w:val="17"/>
              </w:rPr>
              <w:t>Shows extra tokens change information routing inside the model, an effect never separated from learned routing in our design.</w:t>
            </w:r>
          </w:p>
        </w:tc>
      </w:tr>
      <w:tr>
        <w:trPr>
          <w:cantSplit w:val="true"/>
        </w:trPr>
        <w:tc>
          <w:tcPr>
            <w:tcW w:type="dxa" w:w="567"/>
            <w:vAlign w:val="top"/>
          </w:tcPr>
          <w:p>
            <w:pPr>
              <w:spacing w:after="0" w:before="0"/>
            </w:pPr>
            <w:r/>
            <w:r>
              <w:rPr>
                <w:b w:val="0"/>
                <w:i w:val="0"/>
                <w:sz w:val="17"/>
              </w:rPr>
              <w:t>13</w:t>
            </w:r>
          </w:p>
        </w:tc>
        <w:tc>
          <w:tcPr>
            <w:tcW w:type="dxa" w:w="2494"/>
            <w:vAlign w:val="top"/>
          </w:tcPr>
          <w:p>
            <w:pPr>
              <w:spacing w:after="0" w:before="0"/>
            </w:pPr>
            <w:r/>
            <w:r>
              <w:rPr>
                <w:b/>
                <w:i w:val="0"/>
                <w:color w:val="0F2A3D"/>
                <w:sz w:val="17"/>
              </w:rPr>
              <w:t>Tang &amp; Qi, The extra tokens matter (ICML 2026)</w:t>
            </w:r>
          </w:p>
        </w:tc>
        <w:tc>
          <w:tcPr>
            <w:tcW w:type="dxa" w:w="3175"/>
            <w:vAlign w:val="top"/>
          </w:tcPr>
          <w:p>
            <w:pPr>
              <w:spacing w:after="0" w:before="0"/>
            </w:pPr>
            <w:r/>
            <w:r>
              <w:rPr>
                <w:b w:val="0"/>
                <w:i w:val="0"/>
                <w:sz w:val="17"/>
              </w:rPr>
              <w:t>Regularises the extra tokens of a ViT into semantically disentangled factor tokens that correspond to object parts, with no manual labels.</w:t>
            </w:r>
          </w:p>
        </w:tc>
        <w:tc>
          <w:tcPr>
            <w:tcW w:type="dxa" w:w="2041"/>
            <w:vAlign w:val="top"/>
          </w:tcPr>
          <w:p>
            <w:pPr>
              <w:spacing w:after="0" w:before="0"/>
            </w:pPr>
            <w:r/>
            <w:r>
              <w:rPr>
                <w:b w:val="0"/>
                <w:i w:val="0"/>
                <w:sz w:val="17"/>
              </w:rPr>
              <w:t>ViT representation learning.</w:t>
            </w:r>
          </w:p>
        </w:tc>
        <w:tc>
          <w:tcPr>
            <w:tcW w:type="dxa" w:w="2948"/>
            <w:vAlign w:val="top"/>
          </w:tcPr>
          <w:p>
            <w:pPr>
              <w:spacing w:after="0" w:before="0"/>
            </w:pPr>
            <w:r/>
            <w:r>
              <w:rPr>
                <w:b w:val="0"/>
                <w:i w:val="0"/>
                <w:sz w:val="17"/>
              </w:rPr>
              <w:t>Extra tokens can be given semantic structure through a geometric volume constraint.</w:t>
            </w:r>
          </w:p>
        </w:tc>
        <w:tc>
          <w:tcPr>
            <w:tcW w:type="dxa" w:w="3912"/>
            <w:vAlign w:val="top"/>
          </w:tcPr>
          <w:p>
            <w:pPr>
              <w:spacing w:after="0" w:before="0"/>
            </w:pPr>
            <w:r/>
            <w:r>
              <w:rPr>
                <w:b w:val="0"/>
                <w:i w:val="0"/>
                <w:sz w:val="17"/>
              </w:rPr>
              <w:t>Closest in spirit to slots as parts, but the tokens are not routed from patches; it has not been compared with routed grouping at matched capacity.</w:t>
            </w:r>
          </w:p>
        </w:tc>
      </w:tr>
      <w:tr>
        <w:trPr>
          <w:cantSplit w:val="true"/>
        </w:trPr>
        <w:tc>
          <w:tcPr>
            <w:tcW w:type="dxa" w:w="3912"/>
            <w:gridSpan w:val="6"/>
            <w:vAlign w:val="center"/>
            <w:shd w:val="clear" w:color="auto" w:fill="D3E3E9"/>
          </w:tcPr>
          <w:p>
            <w:pPr>
              <w:keepNext/>
              <w:spacing w:after="0" w:before="0"/>
            </w:pPr>
            <w:r/>
            <w:r>
              <w:rPr>
                <w:b/>
                <w:i w:val="0"/>
                <w:color w:val="0F2A3D"/>
                <w:sz w:val="17"/>
              </w:rPr>
              <w:t>OBJECT-CENTRIC AND SLOT-BASED LEARNING</w:t>
            </w:r>
          </w:p>
        </w:tc>
      </w:tr>
      <w:tr>
        <w:trPr>
          <w:cantSplit w:val="true"/>
        </w:trPr>
        <w:tc>
          <w:tcPr>
            <w:tcW w:type="dxa" w:w="567"/>
            <w:vAlign w:val="top"/>
            <w:shd w:val="clear" w:color="auto" w:fill="F5F9FA"/>
          </w:tcPr>
          <w:p>
            <w:pPr>
              <w:spacing w:after="0" w:before="0"/>
            </w:pPr>
            <w:r/>
            <w:r>
              <w:rPr>
                <w:b w:val="0"/>
                <w:i w:val="0"/>
                <w:sz w:val="17"/>
              </w:rPr>
              <w:t>14</w:t>
            </w:r>
          </w:p>
        </w:tc>
        <w:tc>
          <w:tcPr>
            <w:tcW w:type="dxa" w:w="2494"/>
            <w:vAlign w:val="top"/>
            <w:shd w:val="clear" w:color="auto" w:fill="F5F9FA"/>
          </w:tcPr>
          <w:p>
            <w:pPr>
              <w:spacing w:after="0" w:before="0"/>
            </w:pPr>
            <w:r/>
            <w:r>
              <w:rPr>
                <w:b/>
                <w:i w:val="0"/>
                <w:color w:val="0F2A3D"/>
                <w:sz w:val="17"/>
              </w:rPr>
              <w:t>Dukic et al., Target-encoder bootstrapping (ICLR 2025)</w:t>
            </w:r>
          </w:p>
        </w:tc>
        <w:tc>
          <w:tcPr>
            <w:tcW w:type="dxa" w:w="3175"/>
            <w:vAlign w:val="top"/>
            <w:shd w:val="clear" w:color="auto" w:fill="F5F9FA"/>
          </w:tcPr>
          <w:p>
            <w:pPr>
              <w:spacing w:after="0" w:before="0"/>
            </w:pPr>
            <w:r/>
            <w:r>
              <w:rPr>
                <w:b w:val="0"/>
                <w:i w:val="0"/>
                <w:sz w:val="17"/>
              </w:rPr>
              <w:t>Slot-attention models trained to reconstruct frozen foundation-model features; bootstraps the target encoder to lift the ceiling of frozen targets.</w:t>
            </w:r>
          </w:p>
        </w:tc>
        <w:tc>
          <w:tcPr>
            <w:tcW w:type="dxa" w:w="2041"/>
            <w:vAlign w:val="top"/>
            <w:shd w:val="clear" w:color="auto" w:fill="F5F9FA"/>
          </w:tcPr>
          <w:p>
            <w:pPr>
              <w:spacing w:after="0" w:before="0"/>
            </w:pPr>
            <w:r/>
            <w:r>
              <w:rPr>
                <w:b w:val="0"/>
                <w:i w:val="0"/>
                <w:sz w:val="17"/>
              </w:rPr>
              <w:t>Real-world object-centric benchmarks.</w:t>
            </w:r>
          </w:p>
        </w:tc>
        <w:tc>
          <w:tcPr>
            <w:tcW w:type="dxa" w:w="2948"/>
            <w:vAlign w:val="top"/>
            <w:shd w:val="clear" w:color="auto" w:fill="F5F9FA"/>
          </w:tcPr>
          <w:p>
            <w:pPr>
              <w:spacing w:after="0" w:before="0"/>
            </w:pPr>
            <w:r/>
            <w:r>
              <w:rPr>
                <w:b w:val="0"/>
                <w:i w:val="0"/>
                <w:sz w:val="17"/>
              </w:rPr>
              <w:t>Frozen reconstruction targets bound what object-centric models can reach; bootstrapping relaxes it.</w:t>
            </w:r>
          </w:p>
        </w:tc>
        <w:tc>
          <w:tcPr>
            <w:tcW w:type="dxa" w:w="3912"/>
            <w:vAlign w:val="top"/>
            <w:shd w:val="clear" w:color="auto" w:fill="F5F9FA"/>
          </w:tcPr>
          <w:p>
            <w:pPr>
              <w:spacing w:after="0" w:before="0"/>
            </w:pPr>
            <w:r/>
            <w:r>
              <w:rPr>
                <w:b w:val="0"/>
                <w:i w:val="0"/>
                <w:sz w:val="17"/>
              </w:rPr>
              <w:t>Needs a reconstruction objective and foundation-model features; it does not address grouping trained from class labels alone.</w:t>
            </w:r>
          </w:p>
        </w:tc>
      </w:tr>
      <w:tr>
        <w:trPr>
          <w:cantSplit w:val="true"/>
        </w:trPr>
        <w:tc>
          <w:tcPr>
            <w:tcW w:type="dxa" w:w="567"/>
            <w:vAlign w:val="top"/>
          </w:tcPr>
          <w:p>
            <w:pPr>
              <w:spacing w:after="0" w:before="0"/>
            </w:pPr>
            <w:r/>
            <w:r>
              <w:rPr>
                <w:b w:val="0"/>
                <w:i w:val="0"/>
                <w:sz w:val="17"/>
              </w:rPr>
              <w:t>15</w:t>
            </w:r>
          </w:p>
        </w:tc>
        <w:tc>
          <w:tcPr>
            <w:tcW w:type="dxa" w:w="2494"/>
            <w:vAlign w:val="top"/>
          </w:tcPr>
          <w:p>
            <w:pPr>
              <w:spacing w:after="0" w:before="0"/>
            </w:pPr>
            <w:r/>
            <w:r>
              <w:rPr>
                <w:b/>
                <w:i w:val="0"/>
                <w:color w:val="0F2A3D"/>
                <w:sz w:val="17"/>
              </w:rPr>
              <w:t>Singh et al., GLASS (CVPR 2025)</w:t>
            </w:r>
          </w:p>
        </w:tc>
        <w:tc>
          <w:tcPr>
            <w:tcW w:type="dxa" w:w="3175"/>
            <w:vAlign w:val="top"/>
          </w:tcPr>
          <w:p>
            <w:pPr>
              <w:spacing w:after="0" w:before="0"/>
            </w:pPr>
            <w:r/>
            <w:r>
              <w:rPr>
                <w:b w:val="0"/>
                <w:i w:val="0"/>
                <w:sz w:val="17"/>
              </w:rPr>
              <w:t>Guided latent slot diffusion for decomposing real-world images into object slots.</w:t>
            </w:r>
          </w:p>
        </w:tc>
        <w:tc>
          <w:tcPr>
            <w:tcW w:type="dxa" w:w="2041"/>
            <w:vAlign w:val="top"/>
          </w:tcPr>
          <w:p>
            <w:pPr>
              <w:spacing w:after="0" w:before="0"/>
            </w:pPr>
            <w:r/>
            <w:r>
              <w:rPr>
                <w:b w:val="0"/>
                <w:i w:val="0"/>
                <w:sz w:val="17"/>
              </w:rPr>
              <w:t>Real-world images with multiple textured objects.</w:t>
            </w:r>
          </w:p>
        </w:tc>
        <w:tc>
          <w:tcPr>
            <w:tcW w:type="dxa" w:w="2948"/>
            <w:vAlign w:val="top"/>
          </w:tcPr>
          <w:p>
            <w:pPr>
              <w:spacing w:after="0" w:before="0"/>
            </w:pPr>
            <w:r/>
            <w:r>
              <w:rPr>
                <w:b w:val="0"/>
                <w:i w:val="0"/>
                <w:sz w:val="17"/>
              </w:rPr>
              <w:t>Object-centric learning struggles on real-world data; guidance in a diffusion decoder helps.</w:t>
            </w:r>
          </w:p>
        </w:tc>
        <w:tc>
          <w:tcPr>
            <w:tcW w:type="dxa" w:w="3912"/>
            <w:vAlign w:val="top"/>
          </w:tcPr>
          <w:p>
            <w:pPr>
              <w:spacing w:after="0" w:before="0"/>
            </w:pPr>
            <w:r/>
            <w:r>
              <w:rPr>
                <w:b w:val="0"/>
                <w:i w:val="0"/>
                <w:sz w:val="17"/>
              </w:rPr>
              <w:t>Generative diffusion decoders are far heavier than a feed-forward router and serve a different goal from classification backbones.</w:t>
            </w:r>
          </w:p>
        </w:tc>
      </w:tr>
      <w:tr>
        <w:trPr>
          <w:cantSplit w:val="true"/>
        </w:trPr>
        <w:tc>
          <w:tcPr>
            <w:tcW w:type="dxa" w:w="567"/>
            <w:vAlign w:val="top"/>
            <w:shd w:val="clear" w:color="auto" w:fill="F5F9FA"/>
          </w:tcPr>
          <w:p>
            <w:pPr>
              <w:spacing w:after="0" w:before="0"/>
            </w:pPr>
            <w:r/>
            <w:r>
              <w:rPr>
                <w:b w:val="0"/>
                <w:i w:val="0"/>
                <w:sz w:val="17"/>
              </w:rPr>
              <w:t>16</w:t>
            </w:r>
          </w:p>
        </w:tc>
        <w:tc>
          <w:tcPr>
            <w:tcW w:type="dxa" w:w="2494"/>
            <w:vAlign w:val="top"/>
            <w:shd w:val="clear" w:color="auto" w:fill="F5F9FA"/>
          </w:tcPr>
          <w:p>
            <w:pPr>
              <w:spacing w:after="0" w:before="0"/>
            </w:pPr>
            <w:r/>
            <w:r>
              <w:rPr>
                <w:b/>
                <w:i w:val="0"/>
                <w:color w:val="0F2A3D"/>
                <w:sz w:val="17"/>
              </w:rPr>
              <w:t>Akan, Slots in real-world scenarios (arXiv 2025)</w:t>
            </w:r>
          </w:p>
        </w:tc>
        <w:tc>
          <w:tcPr>
            <w:tcW w:type="dxa" w:w="3175"/>
            <w:vAlign w:val="top"/>
            <w:shd w:val="clear" w:color="auto" w:fill="F5F9FA"/>
          </w:tcPr>
          <w:p>
            <w:pPr>
              <w:spacing w:after="0" w:before="0"/>
            </w:pPr>
            <w:r/>
            <w:r>
              <w:rPr>
                <w:b w:val="0"/>
                <w:i w:val="0"/>
                <w:sz w:val="17"/>
              </w:rPr>
              <w:t>SlotAdapt: lightweight adapters and a register token that connect object-centric slots to pretrained diffusion models.</w:t>
            </w:r>
          </w:p>
        </w:tc>
        <w:tc>
          <w:tcPr>
            <w:tcW w:type="dxa" w:w="2041"/>
            <w:vAlign w:val="top"/>
            <w:shd w:val="clear" w:color="auto" w:fill="F5F9FA"/>
          </w:tcPr>
          <w:p>
            <w:pPr>
              <w:spacing w:after="0" w:before="0"/>
            </w:pPr>
            <w:r/>
            <w:r>
              <w:rPr>
                <w:b w:val="0"/>
                <w:i w:val="0"/>
                <w:sz w:val="17"/>
              </w:rPr>
              <w:t>Real-world scenes; generative models.</w:t>
            </w:r>
          </w:p>
        </w:tc>
        <w:tc>
          <w:tcPr>
            <w:tcW w:type="dxa" w:w="2948"/>
            <w:vAlign w:val="top"/>
            <w:shd w:val="clear" w:color="auto" w:fill="F5F9FA"/>
          </w:tcPr>
          <w:p>
            <w:pPr>
              <w:spacing w:after="0" w:before="0"/>
            </w:pPr>
            <w:r/>
            <w:r>
              <w:rPr>
                <w:b w:val="0"/>
                <w:i w:val="0"/>
                <w:sz w:val="17"/>
              </w:rPr>
              <w:t>Combining slots with a register token bridges object-centric learning and high-fidelity diffusion models.</w:t>
            </w:r>
          </w:p>
        </w:tc>
        <w:tc>
          <w:tcPr>
            <w:tcW w:type="dxa" w:w="3912"/>
            <w:vAlign w:val="top"/>
            <w:shd w:val="clear" w:color="auto" w:fill="F5F9FA"/>
          </w:tcPr>
          <w:p>
            <w:pPr>
              <w:spacing w:after="0" w:before="0"/>
            </w:pPr>
            <w:r/>
            <w:r>
              <w:rPr>
                <w:b w:val="0"/>
                <w:i w:val="0"/>
                <w:sz w:val="17"/>
              </w:rPr>
              <w:t>Uses a register token alongside slots, which reinforces the need for a register control when claiming slot benefits.</w:t>
            </w:r>
          </w:p>
        </w:tc>
      </w:tr>
      <w:tr>
        <w:trPr>
          <w:cantSplit w:val="true"/>
        </w:trPr>
        <w:tc>
          <w:tcPr>
            <w:tcW w:type="dxa" w:w="3912"/>
            <w:gridSpan w:val="6"/>
            <w:vAlign w:val="center"/>
            <w:shd w:val="clear" w:color="auto" w:fill="D3E3E9"/>
          </w:tcPr>
          <w:p>
            <w:pPr>
              <w:keepNext/>
              <w:spacing w:after="0" w:before="0"/>
            </w:pPr>
            <w:r/>
            <w:r>
              <w:rPr>
                <w:b/>
                <w:i w:val="0"/>
                <w:color w:val="0F2A3D"/>
                <w:sz w:val="17"/>
              </w:rPr>
              <w:t>DENSE FEATURES AND EMERGENT REGIONS</w:t>
            </w:r>
          </w:p>
        </w:tc>
      </w:tr>
      <w:tr>
        <w:trPr>
          <w:cantSplit w:val="true"/>
        </w:trPr>
        <w:tc>
          <w:tcPr>
            <w:tcW w:type="dxa" w:w="567"/>
            <w:vAlign w:val="top"/>
          </w:tcPr>
          <w:p>
            <w:pPr>
              <w:spacing w:after="0" w:before="0"/>
            </w:pPr>
            <w:r/>
            <w:r>
              <w:rPr>
                <w:b w:val="0"/>
                <w:i w:val="0"/>
                <w:sz w:val="17"/>
              </w:rPr>
              <w:t>17</w:t>
            </w:r>
          </w:p>
        </w:tc>
        <w:tc>
          <w:tcPr>
            <w:tcW w:type="dxa" w:w="2494"/>
            <w:vAlign w:val="top"/>
          </w:tcPr>
          <w:p>
            <w:pPr>
              <w:spacing w:after="0" w:before="0"/>
            </w:pPr>
            <w:r/>
            <w:r>
              <w:rPr>
                <w:b/>
                <w:i w:val="0"/>
                <w:color w:val="0F2A3D"/>
                <w:sz w:val="17"/>
              </w:rPr>
              <w:t>Simeoni et al., DINOv3 (arXiv 2025)</w:t>
            </w:r>
          </w:p>
        </w:tc>
        <w:tc>
          <w:tcPr>
            <w:tcW w:type="dxa" w:w="3175"/>
            <w:vAlign w:val="top"/>
          </w:tcPr>
          <w:p>
            <w:pPr>
              <w:spacing w:after="0" w:before="0"/>
            </w:pPr>
            <w:r/>
            <w:r>
              <w:rPr>
                <w:b w:val="0"/>
                <w:i w:val="0"/>
                <w:sz w:val="17"/>
              </w:rPr>
              <w:t>Self-supervised foundation model scaled in data and parameters; 'Gram anchoring' to keep dense feature maps clean.</w:t>
            </w:r>
          </w:p>
        </w:tc>
        <w:tc>
          <w:tcPr>
            <w:tcW w:type="dxa" w:w="2041"/>
            <w:vAlign w:val="top"/>
          </w:tcPr>
          <w:p>
            <w:pPr>
              <w:spacing w:after="0" w:before="0"/>
            </w:pPr>
            <w:r/>
            <w:r>
              <w:rPr>
                <w:b w:val="0"/>
                <w:i w:val="0"/>
                <w:sz w:val="17"/>
              </w:rPr>
              <w:t>Very large-scale self-supervised pre-training; many tasks without fine-tuning.</w:t>
            </w:r>
          </w:p>
        </w:tc>
        <w:tc>
          <w:tcPr>
            <w:tcW w:type="dxa" w:w="2948"/>
            <w:vAlign w:val="top"/>
          </w:tcPr>
          <w:p>
            <w:pPr>
              <w:spacing w:after="0" w:before="0"/>
            </w:pPr>
            <w:r/>
            <w:r>
              <w:rPr>
                <w:b w:val="0"/>
                <w:i w:val="0"/>
                <w:sz w:val="17"/>
              </w:rPr>
              <w:t>Strong dense features without annotation.</w:t>
            </w:r>
          </w:p>
        </w:tc>
        <w:tc>
          <w:tcPr>
            <w:tcW w:type="dxa" w:w="3912"/>
            <w:vAlign w:val="top"/>
          </w:tcPr>
          <w:p>
            <w:pPr>
              <w:spacing w:after="0" w:before="0"/>
            </w:pPr>
            <w:r/>
            <w:r>
              <w:rPr>
                <w:b w:val="0"/>
                <w:i w:val="0"/>
                <w:sz w:val="17"/>
              </w:rPr>
              <w:t>Sets the bar for region quality at a scale we cannot reproduce; usable only as a frozen reference for region baselines in RO4.</w:t>
            </w:r>
          </w:p>
        </w:tc>
      </w:tr>
      <w:tr>
        <w:trPr>
          <w:cantSplit w:val="true"/>
        </w:trPr>
        <w:tc>
          <w:tcPr>
            <w:tcW w:type="dxa" w:w="567"/>
            <w:vAlign w:val="top"/>
            <w:shd w:val="clear" w:color="auto" w:fill="F5F9FA"/>
          </w:tcPr>
          <w:p>
            <w:pPr>
              <w:spacing w:after="0" w:before="0"/>
            </w:pPr>
            <w:r/>
            <w:r>
              <w:rPr>
                <w:b w:val="0"/>
                <w:i w:val="0"/>
                <w:sz w:val="17"/>
              </w:rPr>
              <w:t>18</w:t>
            </w:r>
          </w:p>
        </w:tc>
        <w:tc>
          <w:tcPr>
            <w:tcW w:type="dxa" w:w="2494"/>
            <w:vAlign w:val="top"/>
            <w:shd w:val="clear" w:color="auto" w:fill="F5F9FA"/>
          </w:tcPr>
          <w:p>
            <w:pPr>
              <w:spacing w:after="0" w:before="0"/>
            </w:pPr>
            <w:r/>
            <w:r>
              <w:rPr>
                <w:b/>
                <w:i w:val="0"/>
                <w:color w:val="0F2A3D"/>
                <w:sz w:val="17"/>
              </w:rPr>
              <w:t>Rawlekar et al., Object DINO (CVPR 2026)</w:t>
            </w:r>
          </w:p>
        </w:tc>
        <w:tc>
          <w:tcPr>
            <w:tcW w:type="dxa" w:w="3175"/>
            <w:vAlign w:val="top"/>
            <w:shd w:val="clear" w:color="auto" w:fill="F5F9FA"/>
          </w:tcPr>
          <w:p>
            <w:pPr>
              <w:spacing w:after="0" w:before="0"/>
            </w:pPr>
            <w:r/>
            <w:r>
              <w:rPr>
                <w:b w:val="0"/>
                <w:i w:val="0"/>
                <w:sz w:val="17"/>
              </w:rPr>
              <w:t>Training-free extraction of cleaner object maps from distributed properties of self-supervised ViTs, because [CLS] attention maps are noisy.</w:t>
            </w:r>
          </w:p>
        </w:tc>
        <w:tc>
          <w:tcPr>
            <w:tcW w:type="dxa" w:w="2041"/>
            <w:vAlign w:val="top"/>
            <w:shd w:val="clear" w:color="auto" w:fill="F5F9FA"/>
          </w:tcPr>
          <w:p>
            <w:pPr>
              <w:spacing w:after="0" w:before="0"/>
            </w:pPr>
            <w:r/>
            <w:r>
              <w:rPr>
                <w:b w:val="0"/>
                <w:i w:val="0"/>
                <w:sz w:val="17"/>
              </w:rPr>
              <w:t>Self-supervised ViTs such as DINO.</w:t>
            </w:r>
          </w:p>
        </w:tc>
        <w:tc>
          <w:tcPr>
            <w:tcW w:type="dxa" w:w="2948"/>
            <w:vAlign w:val="top"/>
            <w:shd w:val="clear" w:color="auto" w:fill="F5F9FA"/>
          </w:tcPr>
          <w:p>
            <w:pPr>
              <w:spacing w:after="0" w:before="0"/>
            </w:pPr>
            <w:r/>
            <w:r>
              <w:rPr>
                <w:b w:val="0"/>
                <w:i w:val="0"/>
                <w:sz w:val="17"/>
              </w:rPr>
              <w:t>Standard [CLS]-attention localisation contains spurious activations.</w:t>
            </w:r>
          </w:p>
        </w:tc>
        <w:tc>
          <w:tcPr>
            <w:tcW w:type="dxa" w:w="3912"/>
            <w:vAlign w:val="top"/>
            <w:shd w:val="clear" w:color="auto" w:fill="F5F9FA"/>
          </w:tcPr>
          <w:p>
            <w:pPr>
              <w:spacing w:after="0" w:before="0"/>
            </w:pPr>
            <w:r/>
            <w:r>
              <w:rPr>
                <w:b w:val="0"/>
                <w:i w:val="0"/>
                <w:sz w:val="17"/>
              </w:rPr>
              <w:t>Shows that object localisation from attention depends on the extraction protocol, which is why RO4 fixes metrics and baselines in advance.</w:t>
            </w:r>
          </w:p>
        </w:tc>
      </w:tr>
      <w:tr>
        <w:trPr>
          <w:cantSplit w:val="true"/>
        </w:trPr>
        <w:tc>
          <w:tcPr>
            <w:tcW w:type="dxa" w:w="3912"/>
            <w:gridSpan w:val="6"/>
            <w:vAlign w:val="center"/>
            <w:shd w:val="clear" w:color="auto" w:fill="D3E3E9"/>
          </w:tcPr>
          <w:p>
            <w:pPr>
              <w:keepNext/>
              <w:spacing w:after="0" w:before="0"/>
            </w:pPr>
            <w:r/>
            <w:r>
              <w:rPr>
                <w:b/>
                <w:i w:val="0"/>
                <w:color w:val="0F2A3D"/>
                <w:sz w:val="17"/>
              </w:rPr>
              <w:t>EVALUATION RIGOUR</w:t>
            </w:r>
          </w:p>
        </w:tc>
      </w:tr>
      <w:tr>
        <w:trPr>
          <w:cantSplit w:val="true"/>
        </w:trPr>
        <w:tc>
          <w:tcPr>
            <w:tcW w:type="dxa" w:w="567"/>
            <w:vAlign w:val="top"/>
          </w:tcPr>
          <w:p>
            <w:pPr>
              <w:spacing w:after="0" w:before="0"/>
            </w:pPr>
            <w:r/>
            <w:r>
              <w:rPr>
                <w:b w:val="0"/>
                <w:i w:val="0"/>
                <w:sz w:val="17"/>
              </w:rPr>
              <w:t>19</w:t>
            </w:r>
          </w:p>
        </w:tc>
        <w:tc>
          <w:tcPr>
            <w:tcW w:type="dxa" w:w="2494"/>
            <w:vAlign w:val="top"/>
          </w:tcPr>
          <w:p>
            <w:pPr>
              <w:spacing w:after="0" w:before="0"/>
            </w:pPr>
            <w:r/>
            <w:r>
              <w:rPr>
                <w:b/>
                <w:i w:val="0"/>
                <w:color w:val="0F2A3D"/>
                <w:sz w:val="17"/>
              </w:rPr>
              <w:t>Wen et al., Fantastic pretraining optimizers (ICLR 2026)</w:t>
            </w:r>
          </w:p>
        </w:tc>
        <w:tc>
          <w:tcPr>
            <w:tcW w:type="dxa" w:w="3175"/>
            <w:vAlign w:val="top"/>
          </w:tcPr>
          <w:p>
            <w:pPr>
              <w:spacing w:after="0" w:before="0"/>
            </w:pPr>
            <w:r/>
            <w:r>
              <w:rPr>
                <w:b w:val="0"/>
                <w:i w:val="0"/>
                <w:sz w:val="17"/>
              </w:rPr>
              <w:t>Rigorous comparison of eleven optimizers across model scales to 1.2B parameters with matched hyper-parameter tuning.</w:t>
            </w:r>
          </w:p>
        </w:tc>
        <w:tc>
          <w:tcPr>
            <w:tcW w:type="dxa" w:w="2041"/>
            <w:vAlign w:val="top"/>
          </w:tcPr>
          <w:p>
            <w:pPr>
              <w:spacing w:after="0" w:before="0"/>
            </w:pPr>
            <w:r/>
            <w:r>
              <w:rPr>
                <w:b w:val="0"/>
                <w:i w:val="0"/>
                <w:sz w:val="17"/>
              </w:rPr>
              <w:t>Language-model pretraining.</w:t>
            </w:r>
          </w:p>
        </w:tc>
        <w:tc>
          <w:tcPr>
            <w:tcW w:type="dxa" w:w="2948"/>
            <w:vAlign w:val="top"/>
          </w:tcPr>
          <w:p>
            <w:pPr>
              <w:spacing w:after="0" w:before="0"/>
            </w:pPr>
            <w:r/>
            <w:r>
              <w:rPr>
                <w:b w:val="0"/>
                <w:i w:val="0"/>
                <w:sz w:val="17"/>
              </w:rPr>
              <w:t>Claimed 1.4x to 2x speedups largely reflect unequal tuning and small-scale tests.</w:t>
            </w:r>
          </w:p>
        </w:tc>
        <w:tc>
          <w:tcPr>
            <w:tcW w:type="dxa" w:w="3912"/>
            <w:vAlign w:val="top"/>
          </w:tcPr>
          <w:p>
            <w:pPr>
              <w:spacing w:after="0" w:before="0"/>
            </w:pPr>
            <w:r/>
            <w:r>
              <w:rPr>
                <w:b w:val="0"/>
                <w:i w:val="0"/>
                <w:sz w:val="17"/>
              </w:rPr>
              <w:t>Same methodological failure as our audit, in another domain. No equivalent per-arm-tuned comparison exists for token-grouping ViTs.</w:t>
            </w:r>
          </w:p>
        </w:tc>
      </w:tr>
      <w:tr>
        <w:trPr>
          <w:cantSplit w:val="true"/>
        </w:trPr>
        <w:tc>
          <w:tcPr>
            <w:tcW w:type="dxa" w:w="567"/>
            <w:vAlign w:val="top"/>
            <w:shd w:val="clear" w:color="auto" w:fill="F5F9FA"/>
          </w:tcPr>
          <w:p>
            <w:pPr>
              <w:spacing w:after="0" w:before="0"/>
            </w:pPr>
            <w:r/>
            <w:r>
              <w:rPr>
                <w:b w:val="0"/>
                <w:i w:val="0"/>
                <w:sz w:val="17"/>
              </w:rPr>
              <w:t>20</w:t>
            </w:r>
          </w:p>
        </w:tc>
        <w:tc>
          <w:tcPr>
            <w:tcW w:type="dxa" w:w="2494"/>
            <w:vAlign w:val="top"/>
            <w:shd w:val="clear" w:color="auto" w:fill="F5F9FA"/>
          </w:tcPr>
          <w:p>
            <w:pPr>
              <w:spacing w:after="0" w:before="0"/>
            </w:pPr>
            <w:r/>
            <w:r>
              <w:rPr>
                <w:b/>
                <w:i w:val="0"/>
                <w:color w:val="0F2A3D"/>
                <w:sz w:val="17"/>
              </w:rPr>
              <w:t>Kasimbeg et al., Hyperparameter-free learning (TMLR 2025)</w:t>
            </w:r>
          </w:p>
        </w:tc>
        <w:tc>
          <w:tcPr>
            <w:tcW w:type="dxa" w:w="3175"/>
            <w:vAlign w:val="top"/>
            <w:shd w:val="clear" w:color="auto" w:fill="F5F9FA"/>
          </w:tcPr>
          <w:p>
            <w:pPr>
              <w:spacing w:after="0" w:before="0"/>
            </w:pPr>
            <w:r/>
            <w:r>
              <w:rPr>
                <w:b w:val="0"/>
                <w:i w:val="0"/>
                <w:sz w:val="17"/>
              </w:rPr>
              <w:t>Examines whether learning algorithms can avoid per-workload hyper-parameter tuning.</w:t>
            </w:r>
          </w:p>
        </w:tc>
        <w:tc>
          <w:tcPr>
            <w:tcW w:type="dxa" w:w="2041"/>
            <w:vAlign w:val="top"/>
            <w:shd w:val="clear" w:color="auto" w:fill="F5F9FA"/>
          </w:tcPr>
          <w:p>
            <w:pPr>
              <w:spacing w:after="0" w:before="0"/>
            </w:pPr>
            <w:r/>
            <w:r>
              <w:rPr>
                <w:b w:val="0"/>
                <w:i w:val="0"/>
                <w:sz w:val="17"/>
              </w:rPr>
              <w:t>Deep-learning workloads.</w:t>
            </w:r>
          </w:p>
        </w:tc>
        <w:tc>
          <w:tcPr>
            <w:tcW w:type="dxa" w:w="2948"/>
            <w:vAlign w:val="top"/>
            <w:shd w:val="clear" w:color="auto" w:fill="F5F9FA"/>
          </w:tcPr>
          <w:p>
            <w:pPr>
              <w:spacing w:after="0" w:before="0"/>
            </w:pPr>
            <w:r/>
            <w:r>
              <w:rPr>
                <w:b w:val="0"/>
                <w:i w:val="0"/>
                <w:sz w:val="17"/>
              </w:rPr>
              <w:t>Per-workload tuning of optimization and regularization hyper-parameters remains crucial and expensive.</w:t>
            </w:r>
          </w:p>
        </w:tc>
        <w:tc>
          <w:tcPr>
            <w:tcW w:type="dxa" w:w="3912"/>
            <w:vAlign w:val="top"/>
            <w:shd w:val="clear" w:color="auto" w:fill="F5F9FA"/>
          </w:tcPr>
          <w:p>
            <w:pPr>
              <w:spacing w:after="0" w:before="0"/>
            </w:pPr>
            <w:r/>
            <w:r>
              <w:rPr>
                <w:b w:val="0"/>
                <w:i w:val="0"/>
                <w:sz w:val="17"/>
              </w:rPr>
              <w:t>Supports tuning every arm separately (RO2) and shows that a single shared recipe is a weak basis for comparison.</w:t>
            </w:r>
          </w:p>
        </w:tc>
      </w:tr>
      <w:tr>
        <w:trPr>
          <w:cantSplit w:val="true"/>
        </w:trPr>
        <w:tc>
          <w:tcPr>
            <w:tcW w:type="dxa" w:w="567"/>
            <w:vAlign w:val="top"/>
          </w:tcPr>
          <w:p>
            <w:pPr>
              <w:spacing w:after="0" w:before="0"/>
            </w:pPr>
            <w:r/>
            <w:r>
              <w:rPr>
                <w:b w:val="0"/>
                <w:i w:val="0"/>
                <w:sz w:val="17"/>
              </w:rPr>
              <w:t>21</w:t>
            </w:r>
          </w:p>
        </w:tc>
        <w:tc>
          <w:tcPr>
            <w:tcW w:type="dxa" w:w="2494"/>
            <w:vAlign w:val="top"/>
          </w:tcPr>
          <w:p>
            <w:pPr>
              <w:spacing w:after="0" w:before="0"/>
            </w:pPr>
            <w:r/>
            <w:r>
              <w:rPr>
                <w:b/>
                <w:i w:val="0"/>
                <w:color w:val="0F2A3D"/>
                <w:sz w:val="17"/>
              </w:rPr>
              <w:t>Hochlehnert et al., A sober look at LM reasoning (COLM 2025)</w:t>
            </w:r>
          </w:p>
        </w:tc>
        <w:tc>
          <w:tcPr>
            <w:tcW w:type="dxa" w:w="3175"/>
            <w:vAlign w:val="top"/>
          </w:tcPr>
          <w:p>
            <w:pPr>
              <w:spacing w:after="0" w:before="0"/>
            </w:pPr>
            <w:r/>
            <w:r>
              <w:rPr>
                <w:b w:val="0"/>
                <w:i w:val="0"/>
                <w:sz w:val="17"/>
              </w:rPr>
              <w:t>Empirical study of evaluation practices; proposes a standardised, statistically grounded framework.</w:t>
            </w:r>
          </w:p>
        </w:tc>
        <w:tc>
          <w:tcPr>
            <w:tcW w:type="dxa" w:w="2041"/>
            <w:vAlign w:val="top"/>
          </w:tcPr>
          <w:p>
            <w:pPr>
              <w:spacing w:after="0" w:before="0"/>
            </w:pPr>
            <w:r/>
            <w:r>
              <w:rPr>
                <w:b w:val="0"/>
                <w:i w:val="0"/>
                <w:sz w:val="17"/>
              </w:rPr>
              <w:t>Language-model reasoning benchmarks.</w:t>
            </w:r>
          </w:p>
        </w:tc>
        <w:tc>
          <w:tcPr>
            <w:tcW w:type="dxa" w:w="2948"/>
            <w:vAlign w:val="top"/>
          </w:tcPr>
          <w:p>
            <w:pPr>
              <w:spacing w:after="0" w:before="0"/>
            </w:pPr>
            <w:r/>
            <w:r>
              <w:rPr>
                <w:b w:val="0"/>
                <w:i w:val="0"/>
                <w:sz w:val="17"/>
              </w:rPr>
              <w:t>Reported progress is often inflated by inconsistent, non-robust evaluation; many gains are small.</w:t>
            </w:r>
          </w:p>
        </w:tc>
        <w:tc>
          <w:tcPr>
            <w:tcW w:type="dxa" w:w="3912"/>
            <w:vAlign w:val="top"/>
          </w:tcPr>
          <w:p>
            <w:pPr>
              <w:spacing w:after="0" w:before="0"/>
            </w:pPr>
            <w:r/>
            <w:r>
              <w:rPr>
                <w:b w:val="0"/>
                <w:i w:val="0"/>
                <w:sz w:val="17"/>
              </w:rPr>
              <w:t>Different domain, same lesson: variance and transparency decide conclusions. It supports multiple seeds and an OSF-registered plan.</w:t>
            </w:r>
          </w:p>
        </w:tc>
      </w:tr>
      <w:tr>
        <w:trPr>
          <w:cantSplit w:val="true"/>
        </w:trPr>
        <w:tc>
          <w:tcPr>
            <w:tcW w:type="dxa" w:w="3912"/>
            <w:gridSpan w:val="6"/>
            <w:vAlign w:val="center"/>
            <w:shd w:val="clear" w:color="auto" w:fill="D3E3E9"/>
          </w:tcPr>
          <w:p>
            <w:pPr>
              <w:keepNext/>
              <w:spacing w:after="0" w:before="0"/>
            </w:pPr>
            <w:r/>
            <w:r>
              <w:rPr>
                <w:b/>
                <w:i w:val="0"/>
                <w:color w:val="0F2A3D"/>
                <w:sz w:val="17"/>
              </w:rPr>
              <w:t>CAUSAL EMERGENCE</w:t>
            </w:r>
          </w:p>
        </w:tc>
      </w:tr>
      <w:tr>
        <w:trPr>
          <w:cantSplit w:val="true"/>
        </w:trPr>
        <w:tc>
          <w:tcPr>
            <w:tcW w:type="dxa" w:w="567"/>
            <w:vAlign w:val="top"/>
            <w:shd w:val="clear" w:color="auto" w:fill="F5F9FA"/>
          </w:tcPr>
          <w:p>
            <w:pPr>
              <w:spacing w:after="0" w:before="0"/>
            </w:pPr>
            <w:r/>
            <w:r>
              <w:rPr>
                <w:b w:val="0"/>
                <w:i w:val="0"/>
                <w:sz w:val="17"/>
              </w:rPr>
              <w:t>22</w:t>
            </w:r>
          </w:p>
        </w:tc>
        <w:tc>
          <w:tcPr>
            <w:tcW w:type="dxa" w:w="2494"/>
            <w:vAlign w:val="top"/>
            <w:shd w:val="clear" w:color="auto" w:fill="F5F9FA"/>
          </w:tcPr>
          <w:p>
            <w:pPr>
              <w:spacing w:after="0" w:before="0"/>
            </w:pPr>
            <w:r/>
            <w:r>
              <w:rPr>
                <w:b/>
                <w:i w:val="0"/>
                <w:color w:val="0F2A3D"/>
                <w:sz w:val="17"/>
              </w:rPr>
              <w:t>Hoel, Causal emergence 2.0 (arXiv 2025)</w:t>
            </w:r>
          </w:p>
        </w:tc>
        <w:tc>
          <w:tcPr>
            <w:tcW w:type="dxa" w:w="3175"/>
            <w:vAlign w:val="top"/>
            <w:shd w:val="clear" w:color="auto" w:fill="F5F9FA"/>
          </w:tcPr>
          <w:p>
            <w:pPr>
              <w:spacing w:after="0" w:before="0"/>
            </w:pPr>
            <w:r/>
            <w:r>
              <w:rPr>
                <w:b w:val="0"/>
                <w:i w:val="0"/>
                <w:sz w:val="17"/>
              </w:rPr>
              <w:t>Axiomatic extension of causal emergence theory to quantify emergent complexity.</w:t>
            </w:r>
          </w:p>
        </w:tc>
        <w:tc>
          <w:tcPr>
            <w:tcW w:type="dxa" w:w="2041"/>
            <w:vAlign w:val="top"/>
            <w:shd w:val="clear" w:color="auto" w:fill="F5F9FA"/>
          </w:tcPr>
          <w:p>
            <w:pPr>
              <w:spacing w:after="0" w:before="0"/>
            </w:pPr>
            <w:r/>
            <w:r>
              <w:rPr>
                <w:b w:val="0"/>
                <w:i w:val="0"/>
                <w:sz w:val="17"/>
              </w:rPr>
              <w:t>Theory.</w:t>
            </w:r>
          </w:p>
        </w:tc>
        <w:tc>
          <w:tcPr>
            <w:tcW w:type="dxa" w:w="2948"/>
            <w:vAlign w:val="top"/>
            <w:shd w:val="clear" w:color="auto" w:fill="F5F9FA"/>
          </w:tcPr>
          <w:p>
            <w:pPr>
              <w:spacing w:after="0" w:before="0"/>
            </w:pPr>
            <w:r/>
            <w:r>
              <w:rPr>
                <w:b w:val="0"/>
                <w:i w:val="0"/>
                <w:sz w:val="17"/>
              </w:rPr>
              <w:t>A formal framework for when macro-scale descriptions carry more causal structure.</w:t>
            </w:r>
          </w:p>
        </w:tc>
        <w:tc>
          <w:tcPr>
            <w:tcW w:type="dxa" w:w="3912"/>
            <w:vAlign w:val="top"/>
            <w:shd w:val="clear" w:color="auto" w:fill="F5F9FA"/>
          </w:tcPr>
          <w:p>
            <w:pPr>
              <w:spacing w:after="0" w:before="0"/>
            </w:pPr>
            <w:r/>
            <w:r>
              <w:rPr>
                <w:b w:val="0"/>
                <w:i w:val="0"/>
                <w:sz w:val="17"/>
              </w:rPr>
              <w:t>Theory with no validated differentiable vision implementation. Our minor project cited it but never computed Hoel-style effective information, and withdrew that framing.</w:t>
            </w:r>
          </w:p>
        </w:tc>
      </w:tr>
      <w:tr>
        <w:trPr>
          <w:cantSplit w:val="true"/>
        </w:trPr>
        <w:tc>
          <w:tcPr>
            <w:tcW w:type="dxa" w:w="567"/>
            <w:vAlign w:val="top"/>
          </w:tcPr>
          <w:p>
            <w:pPr>
              <w:spacing w:after="0" w:before="0"/>
            </w:pPr>
            <w:r/>
            <w:r>
              <w:rPr>
                <w:b w:val="0"/>
                <w:i w:val="0"/>
                <w:sz w:val="17"/>
              </w:rPr>
              <w:t>23</w:t>
            </w:r>
          </w:p>
        </w:tc>
        <w:tc>
          <w:tcPr>
            <w:tcW w:type="dxa" w:w="2494"/>
            <w:vAlign w:val="top"/>
          </w:tcPr>
          <w:p>
            <w:pPr>
              <w:spacing w:after="0" w:before="0"/>
            </w:pPr>
            <w:r/>
            <w:r>
              <w:rPr>
                <w:b/>
                <w:i w:val="0"/>
                <w:color w:val="0F2A3D"/>
                <w:sz w:val="17"/>
              </w:rPr>
              <w:t>Zhang et al., Reversibility and causal emergence via SVD (npj Complexity 2025)</w:t>
            </w:r>
          </w:p>
        </w:tc>
        <w:tc>
          <w:tcPr>
            <w:tcW w:type="dxa" w:w="3175"/>
            <w:vAlign w:val="top"/>
          </w:tcPr>
          <w:p>
            <w:pPr>
              <w:spacing w:after="0" w:before="0"/>
            </w:pPr>
            <w:r/>
            <w:r>
              <w:rPr>
                <w:b w:val="0"/>
                <w:i w:val="0"/>
                <w:sz w:val="17"/>
              </w:rPr>
              <w:t>Connects dynamical reversibility to effective information through an SVD formulation.</w:t>
            </w:r>
          </w:p>
        </w:tc>
        <w:tc>
          <w:tcPr>
            <w:tcW w:type="dxa" w:w="2041"/>
            <w:vAlign w:val="top"/>
          </w:tcPr>
          <w:p>
            <w:pPr>
              <w:spacing w:after="0" w:before="0"/>
            </w:pPr>
            <w:r/>
            <w:r>
              <w:rPr>
                <w:b w:val="0"/>
                <w:i w:val="0"/>
                <w:sz w:val="17"/>
              </w:rPr>
              <w:t>Dynamical systems.</w:t>
            </w:r>
          </w:p>
        </w:tc>
        <w:tc>
          <w:tcPr>
            <w:tcW w:type="dxa" w:w="2948"/>
            <w:vAlign w:val="top"/>
          </w:tcPr>
          <w:p>
            <w:pPr>
              <w:spacing w:after="0" w:before="0"/>
            </w:pPr>
            <w:r/>
            <w:r>
              <w:rPr>
                <w:b w:val="0"/>
                <w:i w:val="0"/>
                <w:sz w:val="17"/>
              </w:rPr>
              <w:t>An SVD-based route to causal emergence.</w:t>
            </w:r>
          </w:p>
        </w:tc>
        <w:tc>
          <w:tcPr>
            <w:tcW w:type="dxa" w:w="3912"/>
            <w:vAlign w:val="top"/>
          </w:tcPr>
          <w:p>
            <w:pPr>
              <w:spacing w:after="0" w:before="0"/>
            </w:pPr>
            <w:r/>
            <w:r>
              <w:rPr>
                <w:b w:val="0"/>
                <w:i w:val="0"/>
                <w:sz w:val="17"/>
              </w:rPr>
              <w:t>The spectral regulariser of our minor project drew on this idea, but its metric turned out inverted relative to its description and was inactive at the trained operating point.</w:t>
            </w:r>
          </w:p>
        </w:tc>
      </w:tr>
      <w:tr>
        <w:trPr>
          <w:cantSplit w:val="true"/>
        </w:trPr>
        <w:tc>
          <w:tcPr>
            <w:tcW w:type="dxa" w:w="3912"/>
            <w:gridSpan w:val="6"/>
            <w:vAlign w:val="center"/>
            <w:shd w:val="clear" w:color="auto" w:fill="D3E3E9"/>
          </w:tcPr>
          <w:p>
            <w:pPr>
              <w:keepNext/>
              <w:spacing w:after="0" w:before="0"/>
            </w:pPr>
            <w:r/>
            <w:r>
              <w:rPr>
                <w:b/>
                <w:i w:val="0"/>
                <w:color w:val="0F2A3D"/>
                <w:sz w:val="17"/>
              </w:rPr>
              <w:t>OWN PRIOR WORK</w:t>
            </w:r>
          </w:p>
        </w:tc>
      </w:tr>
      <w:tr>
        <w:trPr>
          <w:cantSplit w:val="true"/>
        </w:trPr>
        <w:tc>
          <w:tcPr>
            <w:tcW w:type="dxa" w:w="567"/>
            <w:vAlign w:val="top"/>
            <w:shd w:val="clear" w:color="auto" w:fill="F5F9FA"/>
          </w:tcPr>
          <w:p>
            <w:pPr>
              <w:spacing w:after="0" w:before="0"/>
            </w:pPr>
            <w:r/>
            <w:r>
              <w:rPr>
                <w:b w:val="0"/>
                <w:i w:val="0"/>
                <w:sz w:val="17"/>
              </w:rPr>
              <w:t>24</w:t>
            </w:r>
          </w:p>
        </w:tc>
        <w:tc>
          <w:tcPr>
            <w:tcW w:type="dxa" w:w="2494"/>
            <w:vAlign w:val="top"/>
            <w:shd w:val="clear" w:color="auto" w:fill="F5F9FA"/>
          </w:tcPr>
          <w:p>
            <w:pPr>
              <w:spacing w:after="0" w:before="0"/>
            </w:pPr>
            <w:r/>
            <w:r>
              <w:rPr>
                <w:b/>
                <w:i w:val="0"/>
                <w:color w:val="0F2A3D"/>
                <w:sz w:val="17"/>
              </w:rPr>
              <w:t>Das, Sharma &amp; Eliazer M, CET-ViT (IEEE ICSL-DSGA 2026)</w:t>
            </w:r>
          </w:p>
        </w:tc>
        <w:tc>
          <w:tcPr>
            <w:tcW w:type="dxa" w:w="3175"/>
            <w:vAlign w:val="top"/>
            <w:shd w:val="clear" w:color="auto" w:fill="F5F9FA"/>
          </w:tcPr>
          <w:p>
            <w:pPr>
              <w:spacing w:after="0" w:before="0"/>
            </w:pPr>
            <w:r/>
            <w:r>
              <w:rPr>
                <w:b w:val="0"/>
                <w:i w:val="0"/>
                <w:sz w:val="17"/>
              </w:rPr>
              <w:t>Hierarchical ViT with top-3 sparse routing of 256 tokens into 32 macro-slots (V-CEO) and cross-scale attention.</w:t>
            </w:r>
          </w:p>
        </w:tc>
        <w:tc>
          <w:tcPr>
            <w:tcW w:type="dxa" w:w="2041"/>
            <w:vAlign w:val="top"/>
            <w:shd w:val="clear" w:color="auto" w:fill="F5F9FA"/>
          </w:tcPr>
          <w:p>
            <w:pPr>
              <w:spacing w:after="0" w:before="0"/>
            </w:pPr>
            <w:r/>
            <w:r>
              <w:rPr>
                <w:b w:val="0"/>
                <w:i w:val="0"/>
                <w:sz w:val="17"/>
              </w:rPr>
              <w:t>CIFAR-100 and Tiny-ImageNet-200, from scratch.</w:t>
            </w:r>
          </w:p>
        </w:tc>
        <w:tc>
          <w:tcPr>
            <w:tcW w:type="dxa" w:w="2948"/>
            <w:vAlign w:val="top"/>
            <w:shd w:val="clear" w:color="auto" w:fill="F5F9FA"/>
          </w:tcPr>
          <w:p>
            <w:pPr>
              <w:spacing w:after="0" w:before="0"/>
            </w:pPr>
            <w:r/>
            <w:r>
              <w:rPr>
                <w:b w:val="0"/>
                <w:i w:val="0"/>
                <w:sz w:val="17"/>
              </w:rPr>
              <w:t>Reported 76.05 +/- 0.09% on CIFAR-100 (3 seeds) against 72.14% for a size-matched Swin, and +0.92 over Swin on Tiny-ImageNet.</w:t>
            </w:r>
          </w:p>
        </w:tc>
        <w:tc>
          <w:tcPr>
            <w:tcW w:type="dxa" w:w="3912"/>
            <w:vAlign w:val="top"/>
            <w:shd w:val="clear" w:color="auto" w:fill="F5F9FA"/>
          </w:tcPr>
          <w:p>
            <w:pPr>
              <w:spacing w:after="0" w:before="0"/>
            </w:pPr>
            <w:r/>
            <w:r>
              <w:rPr>
                <w:b w:val="0"/>
                <w:i w:val="0"/>
                <w:sz w:val="17"/>
              </w:rPr>
              <w:t>Single-seed baselines, no capacity-matched control, best-epoch selection on the test split, no mask-level region evaluation, no scale beyond 64x64.</w:t>
            </w:r>
          </w:p>
        </w:tc>
      </w:tr>
      <w:tr>
        <w:trPr>
          <w:cantSplit w:val="true"/>
        </w:trPr>
        <w:tc>
          <w:tcPr>
            <w:tcW w:type="dxa" w:w="567"/>
            <w:vAlign w:val="top"/>
          </w:tcPr>
          <w:p>
            <w:pPr>
              <w:spacing w:after="0" w:before="0"/>
            </w:pPr>
            <w:r/>
            <w:r>
              <w:rPr>
                <w:b w:val="0"/>
                <w:i w:val="0"/>
                <w:sz w:val="17"/>
              </w:rPr>
              <w:t>25</w:t>
            </w:r>
          </w:p>
        </w:tc>
        <w:tc>
          <w:tcPr>
            <w:tcW w:type="dxa" w:w="2494"/>
            <w:vAlign w:val="top"/>
          </w:tcPr>
          <w:p>
            <w:pPr>
              <w:spacing w:after="0" w:before="0"/>
            </w:pPr>
            <w:r/>
            <w:r>
              <w:rPr>
                <w:b/>
                <w:i w:val="0"/>
                <w:color w:val="0F2A3D"/>
                <w:sz w:val="17"/>
              </w:rPr>
              <w:t>Das, Compute-matched audit (private draft v13, 2026)</w:t>
            </w:r>
          </w:p>
        </w:tc>
        <w:tc>
          <w:tcPr>
            <w:tcW w:type="dxa" w:w="3175"/>
            <w:vAlign w:val="top"/>
          </w:tcPr>
          <w:p>
            <w:pPr>
              <w:spacing w:after="0" w:before="0"/>
            </w:pPr>
            <w:r/>
            <w:r>
              <w:rPr>
                <w:b w:val="0"/>
                <w:i w:val="0"/>
                <w:sz w:val="17"/>
              </w:rPr>
              <w:t>237 runs, matched no-branch control G, MAC-matched Swins, per-arm learning-rate sweep, committed analysis plans.</w:t>
            </w:r>
          </w:p>
        </w:tc>
        <w:tc>
          <w:tcPr>
            <w:tcW w:type="dxa" w:w="2041"/>
            <w:vAlign w:val="top"/>
          </w:tcPr>
          <w:p>
            <w:pPr>
              <w:spacing w:after="0" w:before="0"/>
            </w:pPr>
            <w:r/>
            <w:r>
              <w:rPr>
                <w:b w:val="0"/>
                <w:i w:val="0"/>
                <w:sz w:val="17"/>
              </w:rPr>
              <w:t>CIFAR-100 and Tiny-ImageNet (5 to 8 seeds per cell).</w:t>
            </w:r>
          </w:p>
        </w:tc>
        <w:tc>
          <w:tcPr>
            <w:tcW w:type="dxa" w:w="2948"/>
            <w:vAlign w:val="top"/>
          </w:tcPr>
          <w:p>
            <w:pPr>
              <w:spacing w:after="0" w:before="0"/>
            </w:pPr>
            <w:r/>
            <w:r>
              <w:rPr>
                <w:b w:val="0"/>
                <w:i w:val="0"/>
                <w:sz w:val="17"/>
              </w:rPr>
              <w:t>Branch below control at the locked LR; sign at selected LRs depends on rate and data set; no robust advantage over a plain Swin.</w:t>
            </w:r>
          </w:p>
        </w:tc>
        <w:tc>
          <w:tcPr>
            <w:tcW w:type="dxa" w:w="3912"/>
            <w:vAlign w:val="top"/>
          </w:tcPr>
          <w:p>
            <w:pPr>
              <w:spacing w:after="0" w:before="0"/>
            </w:pPr>
            <w:r/>
            <w:r>
              <w:rPr>
                <w:b w:val="0"/>
                <w:i w:val="0"/>
                <w:sz w:val="17"/>
              </w:rPr>
              <w:t>One-seed 4-rate sweep; one control placement; fixed routers not tuned; low-resolution data only; no OSF registration.</w:t>
            </w:r>
          </w:p>
        </w:tc>
      </w:tr>
    </w:tbl>
    <w:p>
      <w:r>
        <w:br w:type="page"/>
      </w:r>
    </w:p>
    <w:p>
      <w:pPr>
        <w:pStyle w:val="Heading2"/>
      </w:pPr>
      <w:r>
        <w:t>3. Limitations identified from the literature survey (research gaps)</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793"/>
        <w:gridCol w:w="3401"/>
        <w:gridCol w:w="8787"/>
        <w:gridCol w:w="1927"/>
      </w:tblGrid>
      <w:tr>
        <w:trPr>
          <w:tblHeader w:val="true"/>
        </w:trPr>
        <w:tc>
          <w:tcPr>
            <w:tcW w:type="dxa" w:w="794"/>
            <w:vAlign w:val="center"/>
            <w:shd w:val="clear" w:color="auto" w:fill="0F2A3D"/>
          </w:tcPr>
          <w:p>
            <w:pPr>
              <w:spacing w:after="0" w:before="0"/>
            </w:pPr>
            <w:r/>
            <w:r>
              <w:rPr>
                <w:b/>
                <w:i w:val="0"/>
                <w:color w:val="FFFFFF"/>
                <w:sz w:val="19"/>
              </w:rPr>
              <w:t>ID</w:t>
            </w:r>
          </w:p>
        </w:tc>
        <w:tc>
          <w:tcPr>
            <w:tcW w:type="dxa" w:w="3402"/>
            <w:vAlign w:val="center"/>
            <w:shd w:val="clear" w:color="auto" w:fill="0F2A3D"/>
          </w:tcPr>
          <w:p>
            <w:pPr>
              <w:spacing w:after="0" w:before="0"/>
            </w:pPr>
            <w:r/>
            <w:r>
              <w:rPr>
                <w:b/>
                <w:i w:val="0"/>
                <w:color w:val="FFFFFF"/>
                <w:sz w:val="19"/>
              </w:rPr>
              <w:t>Limitation identified</w:t>
            </w:r>
          </w:p>
        </w:tc>
        <w:tc>
          <w:tcPr>
            <w:tcW w:type="dxa" w:w="8787"/>
            <w:vAlign w:val="center"/>
            <w:shd w:val="clear" w:color="auto" w:fill="0F2A3D"/>
          </w:tcPr>
          <w:p>
            <w:pPr>
              <w:spacing w:after="0" w:before="0"/>
            </w:pPr>
            <w:r/>
            <w:r>
              <w:rPr>
                <w:b/>
                <w:i w:val="0"/>
                <w:color w:val="FFFFFF"/>
                <w:sz w:val="19"/>
              </w:rPr>
              <w:t>Evidence from the survey</w:t>
            </w:r>
          </w:p>
        </w:tc>
        <w:tc>
          <w:tcPr>
            <w:tcW w:type="dxa" w:w="1928"/>
            <w:vAlign w:val="center"/>
            <w:shd w:val="clear" w:color="auto" w:fill="0F2A3D"/>
          </w:tcPr>
          <w:p>
            <w:pPr>
              <w:spacing w:after="0" w:before="0"/>
            </w:pPr>
            <w:r/>
            <w:r>
              <w:rPr>
                <w:b/>
                <w:i w:val="0"/>
                <w:color w:val="FFFFFF"/>
                <w:sz w:val="19"/>
              </w:rPr>
              <w:t>Addressed by</w:t>
            </w:r>
          </w:p>
        </w:tc>
      </w:tr>
      <w:tr>
        <w:trPr>
          <w:cantSplit w:val="true"/>
        </w:trPr>
        <w:tc>
          <w:tcPr>
            <w:tcW w:type="dxa" w:w="794"/>
            <w:vAlign w:val="top"/>
            <w:shd w:val="clear" w:color="auto" w:fill="EAF1F4"/>
          </w:tcPr>
          <w:p>
            <w:pPr>
              <w:spacing w:after="0" w:before="0"/>
            </w:pPr>
            <w:r/>
            <w:r>
              <w:rPr>
                <w:b/>
                <w:i w:val="0"/>
                <w:sz w:val="19"/>
              </w:rPr>
              <w:t>G1</w:t>
            </w:r>
          </w:p>
        </w:tc>
        <w:tc>
          <w:tcPr>
            <w:tcW w:type="dxa" w:w="3402"/>
            <w:vAlign w:val="top"/>
            <w:shd w:val="clear" w:color="auto" w:fill="EAF1F4"/>
          </w:tcPr>
          <w:p>
            <w:pPr>
              <w:spacing w:after="0" w:before="0"/>
            </w:pPr>
            <w:r/>
            <w:r>
              <w:rPr>
                <w:b w:val="0"/>
                <w:i w:val="0"/>
                <w:sz w:val="19"/>
              </w:rPr>
              <w:t>No capacity-controlled test of learned grouping</w:t>
            </w:r>
          </w:p>
        </w:tc>
        <w:tc>
          <w:tcPr>
            <w:tcW w:type="dxa" w:w="8787"/>
            <w:vAlign w:val="top"/>
            <w:shd w:val="clear" w:color="auto" w:fill="EAF1F4"/>
          </w:tcPr>
          <w:p>
            <w:pPr>
              <w:spacing w:after="0" w:before="0"/>
            </w:pPr>
            <w:r/>
            <w:r>
              <w:rPr>
                <w:b w:val="0"/>
                <w:i w:val="0"/>
                <w:sz w:val="19"/>
              </w:rPr>
              <w:t>Register work (entries 10 to 13, 16) shows that extra input-independent tokens change ViT behaviour; the token-merging and tokenizer papers (1 to 9) do not test learned grouping against such a control.</w:t>
            </w:r>
          </w:p>
        </w:tc>
        <w:tc>
          <w:tcPr>
            <w:tcW w:type="dxa" w:w="1928"/>
            <w:vAlign w:val="top"/>
            <w:shd w:val="clear" w:color="auto" w:fill="EAF1F4"/>
          </w:tcPr>
          <w:p>
            <w:pPr>
              <w:spacing w:after="0" w:before="0"/>
            </w:pPr>
            <w:r/>
            <w:r>
              <w:rPr>
                <w:b w:val="0"/>
                <w:i w:val="0"/>
                <w:sz w:val="19"/>
              </w:rPr>
              <w:t>RO2</w:t>
            </w:r>
          </w:p>
        </w:tc>
      </w:tr>
      <w:tr>
        <w:trPr>
          <w:cantSplit w:val="true"/>
        </w:trPr>
        <w:tc>
          <w:tcPr>
            <w:tcW w:type="dxa" w:w="794"/>
            <w:vAlign w:val="top"/>
          </w:tcPr>
          <w:p>
            <w:pPr>
              <w:spacing w:after="0" w:before="0"/>
            </w:pPr>
            <w:r/>
            <w:r>
              <w:rPr>
                <w:b/>
                <w:i w:val="0"/>
                <w:sz w:val="19"/>
              </w:rPr>
              <w:t>G2</w:t>
            </w:r>
          </w:p>
        </w:tc>
        <w:tc>
          <w:tcPr>
            <w:tcW w:type="dxa" w:w="3402"/>
            <w:vAlign w:val="top"/>
          </w:tcPr>
          <w:p>
            <w:pPr>
              <w:spacing w:after="0" w:before="0"/>
            </w:pPr>
            <w:r/>
            <w:r>
              <w:rPr>
                <w:b w:val="0"/>
                <w:i w:val="0"/>
                <w:sz w:val="19"/>
              </w:rPr>
              <w:t>Merging and pruning are framed as efficiency</w:t>
            </w:r>
          </w:p>
        </w:tc>
        <w:tc>
          <w:tcPr>
            <w:tcW w:type="dxa" w:w="8787"/>
            <w:vAlign w:val="top"/>
          </w:tcPr>
          <w:p>
            <w:pPr>
              <w:spacing w:after="0" w:before="0"/>
            </w:pPr>
            <w:r/>
            <w:r>
              <w:rPr>
                <w:b w:val="0"/>
                <w:i w:val="0"/>
                <w:sz w:val="19"/>
              </w:rPr>
              <w:t>Entries 1 to 5 are inference-time or plug-in methods on existing ViTs; none studies grouping as a from-scratch representation component in the small-image regime.</w:t>
            </w:r>
          </w:p>
        </w:tc>
        <w:tc>
          <w:tcPr>
            <w:tcW w:type="dxa" w:w="1928"/>
            <w:vAlign w:val="top"/>
          </w:tcPr>
          <w:p>
            <w:pPr>
              <w:spacing w:after="0" w:before="0"/>
            </w:pPr>
            <w:r/>
            <w:r>
              <w:rPr>
                <w:b w:val="0"/>
                <w:i w:val="0"/>
                <w:sz w:val="19"/>
              </w:rPr>
              <w:t>RO2, RO3</w:t>
            </w:r>
          </w:p>
        </w:tc>
      </w:tr>
      <w:tr>
        <w:trPr>
          <w:cantSplit w:val="true"/>
        </w:trPr>
        <w:tc>
          <w:tcPr>
            <w:tcW w:type="dxa" w:w="794"/>
            <w:vAlign w:val="top"/>
            <w:shd w:val="clear" w:color="auto" w:fill="EAF1F4"/>
          </w:tcPr>
          <w:p>
            <w:pPr>
              <w:spacing w:after="0" w:before="0"/>
            </w:pPr>
            <w:r/>
            <w:r>
              <w:rPr>
                <w:b/>
                <w:i w:val="0"/>
                <w:sz w:val="19"/>
              </w:rPr>
              <w:t>G3</w:t>
            </w:r>
          </w:p>
        </w:tc>
        <w:tc>
          <w:tcPr>
            <w:tcW w:type="dxa" w:w="3402"/>
            <w:vAlign w:val="top"/>
            <w:shd w:val="clear" w:color="auto" w:fill="EAF1F4"/>
          </w:tcPr>
          <w:p>
            <w:pPr>
              <w:spacing w:after="0" w:before="0"/>
            </w:pPr>
            <w:r/>
            <w:r>
              <w:rPr>
                <w:b w:val="0"/>
                <w:i w:val="0"/>
                <w:sz w:val="19"/>
              </w:rPr>
              <w:t>Single-pass, label-only grouping is unexamined</w:t>
            </w:r>
          </w:p>
        </w:tc>
        <w:tc>
          <w:tcPr>
            <w:tcW w:type="dxa" w:w="8787"/>
            <w:vAlign w:val="top"/>
            <w:shd w:val="clear" w:color="auto" w:fill="EAF1F4"/>
          </w:tcPr>
          <w:p>
            <w:pPr>
              <w:spacing w:after="0" w:before="0"/>
            </w:pPr>
            <w:r/>
            <w:r>
              <w:rPr>
                <w:b w:val="0"/>
                <w:i w:val="0"/>
                <w:sz w:val="19"/>
              </w:rPr>
              <w:t>Slot-based work (14 to 16) relies on reconstruction, frozen foundation-model targets or diffusion decoders; a feed-forward top-k assignment trained from class labels is uncharacterised.</w:t>
            </w:r>
          </w:p>
        </w:tc>
        <w:tc>
          <w:tcPr>
            <w:tcW w:type="dxa" w:w="1928"/>
            <w:vAlign w:val="top"/>
            <w:shd w:val="clear" w:color="auto" w:fill="EAF1F4"/>
          </w:tcPr>
          <w:p>
            <w:pPr>
              <w:spacing w:after="0" w:before="0"/>
            </w:pPr>
            <w:r/>
            <w:r>
              <w:rPr>
                <w:b w:val="0"/>
                <w:i w:val="0"/>
                <w:sz w:val="19"/>
              </w:rPr>
              <w:t>RO2, RO4</w:t>
            </w:r>
          </w:p>
        </w:tc>
      </w:tr>
      <w:tr>
        <w:trPr>
          <w:cantSplit w:val="true"/>
        </w:trPr>
        <w:tc>
          <w:tcPr>
            <w:tcW w:type="dxa" w:w="794"/>
            <w:vAlign w:val="top"/>
          </w:tcPr>
          <w:p>
            <w:pPr>
              <w:spacing w:after="0" w:before="0"/>
            </w:pPr>
            <w:r/>
            <w:r>
              <w:rPr>
                <w:b/>
                <w:i w:val="0"/>
                <w:sz w:val="19"/>
              </w:rPr>
              <w:t>G4</w:t>
            </w:r>
          </w:p>
        </w:tc>
        <w:tc>
          <w:tcPr>
            <w:tcW w:type="dxa" w:w="3402"/>
            <w:vAlign w:val="top"/>
          </w:tcPr>
          <w:p>
            <w:pPr>
              <w:spacing w:after="0" w:before="0"/>
            </w:pPr>
            <w:r/>
            <w:r>
              <w:rPr>
                <w:b w:val="0"/>
                <w:i w:val="0"/>
                <w:sz w:val="19"/>
              </w:rPr>
              <w:t>Evaluation protocols are weak</w:t>
            </w:r>
          </w:p>
        </w:tc>
        <w:tc>
          <w:tcPr>
            <w:tcW w:type="dxa" w:w="8787"/>
            <w:vAlign w:val="top"/>
          </w:tcPr>
          <w:p>
            <w:pPr>
              <w:spacing w:after="0" w:before="0"/>
            </w:pPr>
            <w:r/>
            <w:r>
              <w:rPr>
                <w:b w:val="0"/>
                <w:i w:val="0"/>
                <w:sz w:val="19"/>
              </w:rPr>
              <w:t>Entries 19 to 21 show that under-tuned baselines and weak evaluation inflate claimed gains; our own baselines were single-seed with test-split selection (entry 24).</w:t>
            </w:r>
          </w:p>
        </w:tc>
        <w:tc>
          <w:tcPr>
            <w:tcW w:type="dxa" w:w="1928"/>
            <w:vAlign w:val="top"/>
          </w:tcPr>
          <w:p>
            <w:pPr>
              <w:spacing w:after="0" w:before="0"/>
            </w:pPr>
            <w:r/>
            <w:r>
              <w:rPr>
                <w:b w:val="0"/>
                <w:i w:val="0"/>
                <w:sz w:val="19"/>
              </w:rPr>
              <w:t>RO1, RO5</w:t>
            </w:r>
          </w:p>
        </w:tc>
      </w:tr>
      <w:tr>
        <w:trPr>
          <w:cantSplit w:val="true"/>
        </w:trPr>
        <w:tc>
          <w:tcPr>
            <w:tcW w:type="dxa" w:w="794"/>
            <w:vAlign w:val="top"/>
            <w:shd w:val="clear" w:color="auto" w:fill="EAF1F4"/>
          </w:tcPr>
          <w:p>
            <w:pPr>
              <w:spacing w:after="0" w:before="0"/>
            </w:pPr>
            <w:r/>
            <w:r>
              <w:rPr>
                <w:b/>
                <w:i w:val="0"/>
                <w:sz w:val="19"/>
              </w:rPr>
              <w:t>G5</w:t>
            </w:r>
          </w:p>
        </w:tc>
        <w:tc>
          <w:tcPr>
            <w:tcW w:type="dxa" w:w="3402"/>
            <w:vAlign w:val="top"/>
            <w:shd w:val="clear" w:color="auto" w:fill="EAF1F4"/>
          </w:tcPr>
          <w:p>
            <w:pPr>
              <w:spacing w:after="0" w:before="0"/>
            </w:pPr>
            <w:r/>
            <w:r>
              <w:rPr>
                <w:b w:val="0"/>
                <w:i w:val="0"/>
                <w:sz w:val="19"/>
              </w:rPr>
              <w:t>Region claims are qualitative and protocol-sensitive</w:t>
            </w:r>
          </w:p>
        </w:tc>
        <w:tc>
          <w:tcPr>
            <w:tcW w:type="dxa" w:w="8787"/>
            <w:vAlign w:val="top"/>
            <w:shd w:val="clear" w:color="auto" w:fill="EAF1F4"/>
          </w:tcPr>
          <w:p>
            <w:pPr>
              <w:spacing w:after="0" w:before="0"/>
            </w:pPr>
            <w:r/>
            <w:r>
              <w:rPr>
                <w:b w:val="0"/>
                <w:i w:val="0"/>
                <w:sz w:val="19"/>
              </w:rPr>
              <w:t>Entries 17 and 18 show that localisation from ViT attention is noisy and depends on extraction; our region figures were visual only.</w:t>
            </w:r>
          </w:p>
        </w:tc>
        <w:tc>
          <w:tcPr>
            <w:tcW w:type="dxa" w:w="1928"/>
            <w:vAlign w:val="top"/>
            <w:shd w:val="clear" w:color="auto" w:fill="EAF1F4"/>
          </w:tcPr>
          <w:p>
            <w:pPr>
              <w:spacing w:after="0" w:before="0"/>
            </w:pPr>
            <w:r/>
            <w:r>
              <w:rPr>
                <w:b w:val="0"/>
                <w:i w:val="0"/>
                <w:sz w:val="19"/>
              </w:rPr>
              <w:t>RO4</w:t>
            </w:r>
          </w:p>
        </w:tc>
      </w:tr>
      <w:tr>
        <w:trPr>
          <w:cantSplit w:val="true"/>
        </w:trPr>
        <w:tc>
          <w:tcPr>
            <w:tcW w:type="dxa" w:w="794"/>
            <w:vAlign w:val="top"/>
          </w:tcPr>
          <w:p>
            <w:pPr>
              <w:spacing w:after="0" w:before="0"/>
            </w:pPr>
            <w:r/>
            <w:r>
              <w:rPr>
                <w:b/>
                <w:i w:val="0"/>
                <w:sz w:val="19"/>
              </w:rPr>
              <w:t>G6</w:t>
            </w:r>
          </w:p>
        </w:tc>
        <w:tc>
          <w:tcPr>
            <w:tcW w:type="dxa" w:w="3402"/>
            <w:vAlign w:val="top"/>
          </w:tcPr>
          <w:p>
            <w:pPr>
              <w:spacing w:after="0" w:before="0"/>
            </w:pPr>
            <w:r/>
            <w:r>
              <w:rPr>
                <w:b w:val="0"/>
                <w:i w:val="0"/>
                <w:sz w:val="19"/>
              </w:rPr>
              <w:t>Scale is untested</w:t>
            </w:r>
          </w:p>
        </w:tc>
        <w:tc>
          <w:tcPr>
            <w:tcW w:type="dxa" w:w="8787"/>
            <w:vAlign w:val="top"/>
          </w:tcPr>
          <w:p>
            <w:pPr>
              <w:spacing w:after="0" w:before="0"/>
            </w:pPr>
            <w:r/>
            <w:r>
              <w:rPr>
                <w:b w:val="0"/>
                <w:i w:val="0"/>
                <w:sz w:val="19"/>
              </w:rPr>
              <w:t>The advantage over Swin narrowed by 76% from 32x32 to 64x64 in the minor project; small-data hierarchical ViTs (entry 9) lean on hand-designed locality priors, and ImageNet-like scale is unknown.</w:t>
            </w:r>
          </w:p>
        </w:tc>
        <w:tc>
          <w:tcPr>
            <w:tcW w:type="dxa" w:w="1928"/>
            <w:vAlign w:val="top"/>
          </w:tcPr>
          <w:p>
            <w:pPr>
              <w:spacing w:after="0" w:before="0"/>
            </w:pPr>
            <w:r/>
            <w:r>
              <w:rPr>
                <w:b w:val="0"/>
                <w:i w:val="0"/>
                <w:sz w:val="19"/>
              </w:rPr>
              <w:t>RO3</w:t>
            </w:r>
          </w:p>
        </w:tc>
      </w:tr>
    </w:tbl>
    <w:p>
      <w:r>
        <w:rPr>
          <w:b w:val="0"/>
          <w:i w:val="0"/>
        </w:rPr>
      </w:r>
    </w:p>
    <w:p>
      <w:pPr>
        <w:pStyle w:val="Heading2"/>
      </w:pPr>
      <w:r>
        <w:t>4. References</w:t>
      </w:r>
    </w:p>
    <w:p>
      <w:pPr>
        <w:spacing w:after="60"/>
        <w:ind w:left="510" w:hanging="510"/>
      </w:pPr>
      <w:r>
        <w:rPr>
          <w:b/>
          <w:sz w:val="18"/>
        </w:rPr>
        <w:t xml:space="preserve">[1]  </w:t>
      </w:r>
      <w:r>
        <w:rPr>
          <w:sz w:val="18"/>
        </w:rPr>
        <w:t>D.-J. Lee, J. Hur, J. Choi, J. Yu and J. Kim, "Frequency-aware token reduction for efficient vision transformer," in Proc. NeurIPS, 2025.</w:t>
      </w:r>
    </w:p>
    <w:p>
      <w:pPr>
        <w:spacing w:after="60"/>
        <w:ind w:left="510" w:hanging="510"/>
      </w:pPr>
      <w:r>
        <w:rPr>
          <w:b/>
          <w:sz w:val="18"/>
        </w:rPr>
        <w:t xml:space="preserve">[2]  </w:t>
      </w:r>
      <w:r>
        <w:rPr>
          <w:sz w:val="18"/>
        </w:rPr>
        <w:t>W. Xie, X. Chen, X. Zhang, C. Hao, J. Ma, Y. Li and L. Fang, "Saliency-driven token merging for vision transformers," in Proc. IEEE/CVF CVPR, 2026.</w:t>
      </w:r>
    </w:p>
    <w:p>
      <w:pPr>
        <w:spacing w:after="60"/>
        <w:ind w:left="510" w:hanging="510"/>
      </w:pPr>
      <w:r>
        <w:rPr>
          <w:b/>
          <w:sz w:val="18"/>
        </w:rPr>
        <w:t xml:space="preserve">[3]  </w:t>
      </w:r>
      <w:r>
        <w:rPr>
          <w:sz w:val="18"/>
        </w:rPr>
        <w:t>Q. Zhou, H. Zhang, T. Yang, J. Gao and Q. Wang, "Statistically calibrated scaling for token merging in transformers," in Proc. ICML, 2026.</w:t>
      </w:r>
    </w:p>
    <w:p>
      <w:pPr>
        <w:spacing w:after="60"/>
        <w:ind w:left="510" w:hanging="510"/>
      </w:pPr>
      <w:r>
        <w:rPr>
          <w:b/>
          <w:sz w:val="18"/>
        </w:rPr>
        <w:t xml:space="preserve">[4]  </w:t>
      </w:r>
      <w:r>
        <w:rPr>
          <w:sz w:val="18"/>
        </w:rPr>
        <w:t>O. Schlesinger, A. Farzam, J. M. Di Martino and G. Sapiro, "SPOT: Sparsification with attention dynamics via token relevance in vision transformers," in Findings of IEEE/CVF CVPR, 2026.</w:t>
      </w:r>
    </w:p>
    <w:p>
      <w:pPr>
        <w:spacing w:after="60"/>
        <w:ind w:left="510" w:hanging="510"/>
      </w:pPr>
      <w:r>
        <w:rPr>
          <w:b/>
          <w:sz w:val="18"/>
        </w:rPr>
        <w:t xml:space="preserve">[5]  </w:t>
      </w:r>
      <w:r>
        <w:rPr>
          <w:sz w:val="18"/>
        </w:rPr>
        <w:t>Y. Wang and Y. Yang, "Efficient visual transformer by learnable token merging," IEEE Trans. Pattern Anal. Mach. Intell., vol. 47, no. 11, pp. 9608-9624, 2025, doi:10.1109/TPAMI.2025.3588186.</w:t>
      </w:r>
    </w:p>
    <w:p>
      <w:pPr>
        <w:spacing w:after="60"/>
        <w:ind w:left="510" w:hanging="510"/>
      </w:pPr>
      <w:r>
        <w:rPr>
          <w:b/>
          <w:sz w:val="18"/>
        </w:rPr>
        <w:t xml:space="preserve">[6]  </w:t>
      </w:r>
      <w:r>
        <w:rPr>
          <w:sz w:val="18"/>
        </w:rPr>
        <w:t>Y. Yu, D. Zhao, G. Shen, Y. Dong and Y. Zeng, "Brain-inspired stepwise patch merging for vision transformers," in Proc. IJCAI, 2025, doi:10.24963/ijcai.2025/257.</w:t>
      </w:r>
    </w:p>
    <w:p>
      <w:pPr>
        <w:spacing w:after="60"/>
        <w:ind w:left="510" w:hanging="510"/>
      </w:pPr>
      <w:r>
        <w:rPr>
          <w:b/>
          <w:sz w:val="18"/>
        </w:rPr>
        <w:t xml:space="preserve">[7]  </w:t>
      </w:r>
      <w:r>
        <w:rPr>
          <w:sz w:val="18"/>
        </w:rPr>
        <w:t>S. Yin, K. Yin, Y. Liu, W. Chen and L. Lin, "DART: Differentiable dynamic adaptive region tokenizer for vision transformer and Mamba," arXiv:2506.10390, 2025.</w:t>
      </w:r>
    </w:p>
    <w:p>
      <w:pPr>
        <w:spacing w:after="60"/>
        <w:ind w:left="510" w:hanging="510"/>
      </w:pPr>
      <w:r>
        <w:rPr>
          <w:b/>
          <w:sz w:val="18"/>
        </w:rPr>
        <w:t xml:space="preserve">[8]  </w:t>
      </w:r>
      <w:r>
        <w:rPr>
          <w:sz w:val="18"/>
        </w:rPr>
        <w:t>S. Duggal, P. Isola, A. Torralba and W. T. Freeman, "Adaptive length image tokenization via recurrent allocation," in Proc. ICLR, 2025.</w:t>
      </w:r>
    </w:p>
    <w:p>
      <w:pPr>
        <w:spacing w:after="60"/>
        <w:ind w:left="510" w:hanging="510"/>
      </w:pPr>
      <w:r>
        <w:rPr>
          <w:b/>
          <w:sz w:val="18"/>
        </w:rPr>
        <w:t xml:space="preserve">[9]  </w:t>
      </w:r>
      <w:r>
        <w:rPr>
          <w:sz w:val="18"/>
        </w:rPr>
        <w:t>P. Khadka, R. Rizk, L. Wang and K. C. Santosh, "CoSwin: Convolution enhanced hierarchical shifted window attention for small-scale vision," arXiv preprint, 2025.</w:t>
      </w:r>
    </w:p>
    <w:p>
      <w:pPr>
        <w:spacing w:after="60"/>
        <w:ind w:left="510" w:hanging="510"/>
      </w:pPr>
      <w:r>
        <w:rPr>
          <w:b/>
          <w:sz w:val="18"/>
        </w:rPr>
        <w:t xml:space="preserve">[10]  </w:t>
      </w:r>
      <w:r>
        <w:rPr>
          <w:sz w:val="18"/>
        </w:rPr>
        <w:t>N. Jiang, A. Dravid, A. A. Efros and Y. Gandelsman, "Vision transformers don't need trained registers," in Proc. NeurIPS, 2025.</w:t>
      </w:r>
    </w:p>
    <w:p>
      <w:pPr>
        <w:spacing w:after="60"/>
        <w:ind w:left="510" w:hanging="510"/>
      </w:pPr>
      <w:r>
        <w:rPr>
          <w:b/>
          <w:sz w:val="18"/>
        </w:rPr>
        <w:t xml:space="preserve">[11]  </w:t>
      </w:r>
      <w:r>
        <w:rPr>
          <w:sz w:val="18"/>
        </w:rPr>
        <w:t>Z. Yan, Y. Chen, C. Zhou, B. Dai and A. Luo, "Vision transformers with self-distilled registers," in Proc. NeurIPS, 2025.</w:t>
      </w:r>
    </w:p>
    <w:p>
      <w:pPr>
        <w:spacing w:after="60"/>
        <w:ind w:left="510" w:hanging="510"/>
      </w:pPr>
      <w:r>
        <w:rPr>
          <w:b/>
          <w:sz w:val="18"/>
        </w:rPr>
        <w:t xml:space="preserve">[12]  </w:t>
      </w:r>
      <w:r>
        <w:rPr>
          <w:sz w:val="18"/>
        </w:rPr>
        <w:t>A. Lappe and M. A. Giese, "Register and [CLS] tokens induce a decoupling of local and global features in large ViTs," in Proc. NeurIPS, 2025.</w:t>
      </w:r>
    </w:p>
    <w:p>
      <w:pPr>
        <w:spacing w:after="60"/>
        <w:ind w:left="510" w:hanging="510"/>
      </w:pPr>
      <w:r>
        <w:rPr>
          <w:b/>
          <w:sz w:val="18"/>
        </w:rPr>
        <w:t xml:space="preserve">[13]  </w:t>
      </w:r>
      <w:r>
        <w:rPr>
          <w:sz w:val="18"/>
        </w:rPr>
        <w:t>M. Tang and H. Qi, "The extra tokens matter: Disentangled representation learning with vision transformers," in Proc. ICML, 2026.</w:t>
      </w:r>
    </w:p>
    <w:p>
      <w:pPr>
        <w:spacing w:after="60"/>
        <w:ind w:left="510" w:hanging="510"/>
      </w:pPr>
      <w:r>
        <w:rPr>
          <w:b/>
          <w:sz w:val="18"/>
        </w:rPr>
        <w:t xml:space="preserve">[14]  </w:t>
      </w:r>
      <w:r>
        <w:rPr>
          <w:sz w:val="18"/>
        </w:rPr>
        <w:t>N. Dukic, T. Lebailly and T. Tuytelaars, "Object-centric pretraining via target encoder bootstrapping," in Proc. ICLR, 2025.</w:t>
      </w:r>
    </w:p>
    <w:p>
      <w:pPr>
        <w:spacing w:after="60"/>
        <w:ind w:left="510" w:hanging="510"/>
      </w:pPr>
      <w:r>
        <w:rPr>
          <w:b/>
          <w:sz w:val="18"/>
        </w:rPr>
        <w:t xml:space="preserve">[15]  </w:t>
      </w:r>
      <w:r>
        <w:rPr>
          <w:sz w:val="18"/>
        </w:rPr>
        <w:t>K. Singh, S. Schaub-Meyer and S. Roth, "GLASS: Guided latent slot diffusion for object-centric learning," in Proc. IEEE/CVF CVPR, 2025.</w:t>
      </w:r>
    </w:p>
    <w:p>
      <w:pPr>
        <w:spacing w:after="60"/>
        <w:ind w:left="510" w:hanging="510"/>
      </w:pPr>
      <w:r>
        <w:rPr>
          <w:b/>
          <w:sz w:val="18"/>
        </w:rPr>
        <w:t xml:space="preserve">[16]  </w:t>
      </w:r>
      <w:r>
        <w:rPr>
          <w:sz w:val="18"/>
        </w:rPr>
        <w:t>A. K. Akan, "Learning object-centric representations based on slots in real world scenarios," arXiv:2509.24652, 2025.</w:t>
      </w:r>
    </w:p>
    <w:p>
      <w:pPr>
        <w:spacing w:after="60"/>
        <w:ind w:left="510" w:hanging="510"/>
      </w:pPr>
      <w:r>
        <w:rPr>
          <w:b/>
          <w:sz w:val="18"/>
        </w:rPr>
        <w:t xml:space="preserve">[17]  </w:t>
      </w:r>
      <w:r>
        <w:rPr>
          <w:sz w:val="18"/>
        </w:rPr>
        <w:t>O. Simeoni et al., "DINOv3," arXiv:2508.10104, 2025.</w:t>
      </w:r>
    </w:p>
    <w:p>
      <w:pPr>
        <w:spacing w:after="60"/>
        <w:ind w:left="510" w:hanging="510"/>
      </w:pPr>
      <w:r>
        <w:rPr>
          <w:b/>
          <w:sz w:val="18"/>
        </w:rPr>
        <w:t xml:space="preserve">[18]  </w:t>
      </w:r>
      <w:r>
        <w:rPr>
          <w:sz w:val="18"/>
        </w:rPr>
        <w:t>S. Rawlekar, A. Swain, Y. Cai, Y. Wang, M.-H. Yang and N. Ahuja, "Finding distributed object-centric properties in self-supervised transformers," in Proc. IEEE/CVF CVPR, 2026.</w:t>
      </w:r>
    </w:p>
    <w:p>
      <w:pPr>
        <w:spacing w:after="60"/>
        <w:ind w:left="510" w:hanging="510"/>
      </w:pPr>
      <w:r>
        <w:rPr>
          <w:b/>
          <w:sz w:val="18"/>
        </w:rPr>
        <w:t xml:space="preserve">[19]  </w:t>
      </w:r>
      <w:r>
        <w:rPr>
          <w:sz w:val="18"/>
        </w:rPr>
        <w:t>K. Wen, D. L. W. Hall, T. Ma and P. Liang, "Fantastic pretraining optimizers and where to find them," in Proc. ICLR, 2026.</w:t>
      </w:r>
    </w:p>
    <w:p>
      <w:pPr>
        <w:spacing w:after="60"/>
        <w:ind w:left="510" w:hanging="510"/>
      </w:pPr>
      <w:r>
        <w:rPr>
          <w:b/>
          <w:sz w:val="18"/>
        </w:rPr>
        <w:t xml:space="preserve">[20]  </w:t>
      </w:r>
      <w:r>
        <w:rPr>
          <w:sz w:val="18"/>
        </w:rPr>
        <w:t>P. Kasimbeg, V. Roulet, N. Agarwal, S. Medapati, F. Pedregosa, A. Agarwala and G. E. Dahl, "How far away are truly hyperparameter-free learning algorithms?" Trans. Mach. Learn. Res., 2025.</w:t>
      </w:r>
    </w:p>
    <w:p>
      <w:pPr>
        <w:spacing w:after="60"/>
        <w:ind w:left="510" w:hanging="510"/>
      </w:pPr>
      <w:r>
        <w:rPr>
          <w:b/>
          <w:sz w:val="18"/>
        </w:rPr>
        <w:t xml:space="preserve">[21]  </w:t>
      </w:r>
      <w:r>
        <w:rPr>
          <w:sz w:val="18"/>
        </w:rPr>
        <w:t>A. Hochlehnert, H. Bhatnagar, V. Udandarao, S. Albanie, A. Prabhu and M. Bethge, "A sober look at progress in language model reasoning: Pitfalls and paths to reproducibility," in Proc. COLM, 2025.</w:t>
      </w:r>
    </w:p>
    <w:p>
      <w:pPr>
        <w:spacing w:after="60"/>
        <w:ind w:left="510" w:hanging="510"/>
      </w:pPr>
      <w:r>
        <w:rPr>
          <w:b/>
          <w:sz w:val="18"/>
        </w:rPr>
        <w:t xml:space="preserve">[22]  </w:t>
      </w:r>
      <w:r>
        <w:rPr>
          <w:sz w:val="18"/>
        </w:rPr>
        <w:t>E. Hoel, "Causal emergence 2.0: Quantifying emergent complexity," arXiv:2503.13395, 2025.</w:t>
      </w:r>
    </w:p>
    <w:p>
      <w:pPr>
        <w:spacing w:after="60"/>
        <w:ind w:left="510" w:hanging="510"/>
      </w:pPr>
      <w:r>
        <w:rPr>
          <w:b/>
          <w:sz w:val="18"/>
        </w:rPr>
        <w:t xml:space="preserve">[23]  </w:t>
      </w:r>
      <w:r>
        <w:rPr>
          <w:sz w:val="18"/>
        </w:rPr>
        <w:t>J. Zhang, R. Tao, K. H. Leong, M. Yang and B. Yuan, "Dynamical reversibility and a new theory of causal emergence based on SVD," npj Complexity, vol. 2, no. 1, p. 3, 2025.</w:t>
      </w:r>
    </w:p>
    <w:p>
      <w:pPr>
        <w:spacing w:after="60"/>
        <w:ind w:left="510" w:hanging="510"/>
      </w:pPr>
      <w:r>
        <w:rPr>
          <w:b/>
          <w:sz w:val="18"/>
        </w:rPr>
        <w:t xml:space="preserve">[24]  </w:t>
      </w:r>
      <w:r>
        <w:rPr>
          <w:sz w:val="18"/>
        </w:rPr>
        <w:t>D. J. Das, R. Sharma and E. M, "CET-ViT: Causal Emergence Transformer for Vision," in Proc. ICSL-DSGA, IEEE, 2026, doi:10.1109/ICSL-DSGA70378.2026.11736840.</w:t>
      </w:r>
    </w:p>
    <w:p>
      <w:pPr>
        <w:spacing w:after="60"/>
        <w:ind w:left="510" w:hanging="510"/>
      </w:pPr>
      <w:r>
        <w:rPr>
          <w:b/>
          <w:sz w:val="18"/>
        </w:rPr>
        <w:t xml:space="preserve">[25]  </w:t>
      </w:r>
      <w:r>
        <w:rPr>
          <w:sz w:val="18"/>
        </w:rPr>
        <w:t>D. J. Das, "A learned grouping branch versus a compute-matched control: the answer depends on the learning rate," unpublished manuscript (draft v13), 2026.</w:t>
      </w:r>
    </w:p>
    <w:p>
      <w:pPr>
        <w:spacing w:before="120" w:after="60"/>
      </w:pPr>
      <w:r>
        <w:rPr>
          <w:b/>
          <w:sz w:val="18"/>
        </w:rPr>
        <w:t>Background works (before 2025), cited in the text only:</w:t>
      </w:r>
    </w:p>
    <w:p>
      <w:pPr>
        <w:spacing w:after="60"/>
        <w:ind w:left="510" w:hanging="510"/>
      </w:pPr>
      <w:r>
        <w:rPr>
          <w:b/>
          <w:sz w:val="18"/>
        </w:rPr>
        <w:t xml:space="preserve">[B1]  </w:t>
      </w:r>
      <w:r>
        <w:rPr>
          <w:sz w:val="18"/>
        </w:rPr>
        <w:t>Z. Liu et al., "Swin Transformer: Hierarchical vision transformer using shifted windows," in Proc. IEEE/CVF ICCV, 2021, pp. 10012-10022.</w:t>
      </w:r>
    </w:p>
    <w:p>
      <w:pPr>
        <w:spacing w:after="60"/>
        <w:ind w:left="510" w:hanging="510"/>
      </w:pPr>
      <w:r>
        <w:rPr>
          <w:b/>
          <w:sz w:val="18"/>
        </w:rPr>
        <w:t xml:space="preserve">[B2]  </w:t>
      </w:r>
      <w:r>
        <w:rPr>
          <w:sz w:val="18"/>
        </w:rPr>
        <w:t>W. Wang et al., "Pyramid vision transformer: A versatile backbone for dense prediction without convolutions," in Proc. IEEE/CVF ICCV, 2021, pp. 568-578.</w:t>
      </w:r>
    </w:p>
    <w:sectPr w:rsidR="00FC693F" w:rsidRPr="0006063C" w:rsidSect="00034616">
      <w:footerReference w:type="default" r:id="rId9"/>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77"/>
        <w:sz w:val="18"/>
      </w:rPr>
      <w:t xml:space="preserve">SRMIST School of Computing  |  Major Project 2026-27  |  Zeroth Review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F2A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eastAsia="Cambria"/>
      <w:b/>
      <w:bCs/>
      <w:color w:val="0F2A3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mbria" w:hAnsi="Cambria" w:eastAsia="Cambria"/>
      <w:b/>
      <w:bCs/>
      <w:color w:val="0F2A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