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8.png" ContentType="image/png"/>
  <Override PartName="/word/media/rId27.png" ContentType="image/png"/>
  <Override PartName="/word/media/rId60.png" ContentType="image/png"/>
  <Override PartName="/word/media/rId53.png" ContentType="image/png"/>
  <Override PartName="/word/media/rId33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Geometry of the Affective Brain: Manifold Structure, Representational Similarity, and Subject-Independent Decoding of 27 Fine-Grained Emotions from Scalp EEG</w:t>
      </w:r>
    </w:p>
    <w:p>
      <w:pPr>
        <w:pStyle w:val="Author"/>
      </w:pPr>
      <w:r>
        <w:t xml:space="preserve">Dhruv Kithany</w:t>
      </w:r>
    </w:p>
    <w:p>
      <w:pPr>
        <w:pStyle w:val="Date"/>
      </w:pPr>
      <w:r>
        <w:t xml:space="preserve">2026-09-07</w:t>
      </w:r>
    </w:p>
    <w:bookmarkStart w:id="20" w:name="setup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CommentTok"/>
        </w:rPr>
        <w:t xml:space="preserve"># Setup paths relative to memo location</w:t>
      </w:r>
      <w:r>
        <w:br/>
      </w:r>
      <w:r>
        <w:rPr>
          <w:rStyle w:val="NormalTok"/>
        </w:rPr>
        <w:t xml:space="preserve">memoDir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"."</w:t>
      </w:r>
      <w:r>
        <w:rPr>
          <w:rStyle w:val="NormalTok"/>
        </w:rPr>
        <w:t xml:space="preserve">).resolve()</w:t>
      </w:r>
      <w:r>
        <w:br/>
      </w:r>
      <w:r>
        <w:rPr>
          <w:rStyle w:val="NormalTok"/>
        </w:rPr>
        <w:t xml:space="preserve">projectRoot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memoDir.parent.parent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(projectRoot)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sys.path:</w:t>
      </w:r>
      <w:r>
        <w:br/>
      </w:r>
      <w:r>
        <w:rPr>
          <w:rStyle w:val="NormalTok"/>
        </w:rPr>
        <w:t xml:space="preserve">    sys.path.insert(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(projectRoot))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seaborn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sns</w:t>
      </w:r>
      <w:r>
        <w:br/>
      </w:r>
      <w:r>
        <w:br/>
      </w:r>
      <w:r>
        <w:rPr>
          <w:rStyle w:val="CommentTok"/>
        </w:rPr>
        <w:t xml:space="preserve"># Set scientific visualization defaults</w:t>
      </w:r>
      <w:r>
        <w:br/>
      </w:r>
      <w:r>
        <w:rPr>
          <w:rStyle w:val="NormalTok"/>
        </w:rPr>
        <w:t xml:space="preserve">sns.set_theme(style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"whitegrid"</w:t>
      </w:r>
      <w:r>
        <w:rPr>
          <w:rStyle w:val="NormalTok"/>
        </w:rPr>
        <w:t xml:space="preserve">, palette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"deep"</w:t>
      </w:r>
      <w:r>
        <w:rPr>
          <w:rStyle w:val="NormalTok"/>
        </w:rPr>
        <w:t xml:space="preserve">, font_scale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Load pre-computed benchmark and manifold metrics</w:t>
      </w:r>
      <w:r>
        <w:br/>
      </w:r>
      <w:r>
        <w:rPr>
          <w:rStyle w:val="NormalTok"/>
        </w:rPr>
        <w:t xml:space="preserve">figuresDir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"figures"</w:t>
      </w:r>
      <w:r>
        <w:br/>
      </w:r>
      <w:r>
        <w:rPr>
          <w:rStyle w:val="NormalTok"/>
        </w:rPr>
        <w:t xml:space="preserve">dataDir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projectRoot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"data"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"02_manifold_metrics.json"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manifoldMetrics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"03_benchmark_results.json"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benchmarkMetrics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"04_generative_metrics.json"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generativeMetrics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CommentTok"/>
        </w:rPr>
        <w:t xml:space="preserve"># Load participant summary</w:t>
      </w:r>
      <w:r>
        <w:br/>
      </w:r>
      <w:r>
        <w:rPr>
          <w:rStyle w:val="NormalTok"/>
        </w:rPr>
        <w:t xml:space="preserve">dfParticipants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pd.read_csv(dataDir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"participants_info.csv"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nParticipants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(dfParticipants)</w:t>
      </w:r>
      <w:r>
        <w:br/>
      </w:r>
      <w:r>
        <w:rPr>
          <w:rStyle w:val="NormalTok"/>
        </w:rPr>
        <w:t xml:space="preserve">nMales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((dfParticipants[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nFemales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((dfParticipants[</w:t>
      </w:r>
      <w:r>
        <w:rPr>
          <w:rStyle w:val="StringTok"/>
        </w:rPr>
        <w:t xml:space="preserve">"Gender"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Extract key statistics</w:t>
      </w:r>
      <w:r>
        <w:br/>
      </w:r>
      <w:r>
        <w:rPr>
          <w:rStyle w:val="NormalTok"/>
        </w:rPr>
        <w:t xml:space="preserve">twoNnDim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"intrinsic_dimensionality"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"two_nn_dimension"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pcaVar80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"intrinsic_dimensionality"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"pca_var_80pct"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pcaVar95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"intrinsic_dimensionality"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"pca_var_95pct"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rsaR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"rsa"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"pearson_r"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rsaP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"rsa"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"pearson_p"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rsaRho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manifoldMetrics[</w:t>
      </w:r>
      <w:r>
        <w:rPr>
          <w:rStyle w:val="StringTok"/>
        </w:rPr>
        <w:t xml:space="preserve">"rsa"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"spearman_rho"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Benchmark top performances</w:t>
      </w:r>
      <w:r>
        <w:br/>
      </w:r>
      <w:r>
        <w:rPr>
          <w:rStyle w:val="NormalTok"/>
        </w:rPr>
        <w:t xml:space="preserve">rfQuadAcc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"task_a_quadrants"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rfQuadF1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"task_a_quadrants"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"macro_f1"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mlpQuadAcc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"task_a_quadrants"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rfCowenTop1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"task_b_cowen27"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rfCowenTop5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"task_b_cowen27"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"top_5_accuracy"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mlpCowenTop1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"task_b_cowen27"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mlpCowenTop5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"task_b_cowen27"</w:t>
      </w:r>
      <w:r>
        <w:rPr>
          <w:rStyle w:val="NormalTok"/>
        </w:rPr>
        <w:t xml:space="preserve">][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"top_5_accuracy"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bookmarkEnd w:id="20"/>
    <w:bookmarkStart w:id="21" w:name="X6009076f1b2bcdd643d0d3a81edc0589f40ca95"/>
    <w:p>
      <w:pPr>
        <w:pStyle w:val="Heading2"/>
      </w:pPr>
      <w:r>
        <w:t xml:space="preserve">The Problem: Mapping Brain Waves as High-Dimensional Geometry</w:t>
      </w:r>
    </w:p>
    <w:p>
      <w:pPr>
        <w:pStyle w:val="FirstParagraph"/>
      </w:pPr>
      <w:r>
        <w:t xml:space="preserve">In machine learning and computational geometry, one big question is whether continuous biological signals capture complex human experiences like emotion. Most emotion classification papers treat brain signals as a simple 2-class or 4-class problem (like</w:t>
      </w:r>
      <w:r>
        <w:t xml:space="preserve"> </w:t>
      </w:r>
      <w:r>
        <w:t xml:space="preserve">“happy vs. sad”</w:t>
      </w:r>
      <w:r>
        <w:t xml:space="preserve">). But human feelings are much richer than that.</w:t>
      </w:r>
    </w:p>
    <w:p>
      <w:pPr>
        <w:pStyle w:val="BodyText"/>
      </w:pPr>
      <w:r>
        <w:t xml:space="preserve">Here, we take raw scalp EEG data (14 electrodes, 128 Hz) across 88 participants and extract a</w:t>
      </w:r>
      <w:r>
        <w:t xml:space="preserve"> </w:t>
      </w:r>
      <w:r>
        <w:rPr>
          <w:b/>
          <w:bCs/>
        </w:rPr>
        <w:t xml:space="preserve">462-dimensional feature space</w:t>
      </w:r>
      <w:r>
        <w:t xml:space="preserve"> </w:t>
      </w:r>
      <w:r>
        <w:t xml:space="preserve">(</w:t>
      </w:r>
      <m:oMath>
        <m:r>
          <m:t>D</m:t>
        </m:r>
        <m:r>
          <m:rPr>
            <m:sty m:val="p"/>
          </m:rPr>
          <m:t>=</m:t>
        </m:r>
        <m:r>
          <m:t>462</m:t>
        </m:r>
      </m:oMath>
      <w:r>
        <w:t xml:space="preserve">) per trial. We set out to investigate three core questions: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Topological Alignment &amp; Intrinsic Dimension:</w:t>
      </w:r>
      <w:r>
        <w:t xml:space="preserve"> </w:t>
      </w:r>
      <w:r>
        <w:t xml:space="preserve">Does high-dimensional brain wave space actually reflect the geometry of psychological emotion models</w:t>
      </w:r>
      <w:r>
        <w:t xml:space="preserve"> </w:t>
      </w:r>
      <w:r>
        <w:t xml:space="preserve">(</w:t>
      </w:r>
      <w:hyperlink w:anchor="ref-russell1980circumplex">
        <w:r>
          <w:rPr>
            <w:rStyle w:val="Hyperlink"/>
          </w:rPr>
          <w:t xml:space="preserve">Russell 1980</w:t>
        </w:r>
      </w:hyperlink>
      <w:r>
        <w:t xml:space="preserve">)</w:t>
      </w:r>
      <w:r>
        <w:t xml:space="preserve"> </w:t>
      </w:r>
      <w:r>
        <w:t xml:space="preserve">when we run Representational Similarity Analysis (RSA)</w:t>
      </w:r>
      <w:r>
        <w:t xml:space="preserve"> </w:t>
      </w:r>
      <w:r>
        <w:t xml:space="preserve">(</w:t>
      </w:r>
      <w:hyperlink w:anchor="ref-kriegeskorte2008representational">
        <w:r>
          <w:rPr>
            <w:rStyle w:val="Hyperlink"/>
          </w:rPr>
          <w:t xml:space="preserve">Kriegeskorte, Mur, and Bandettini 2008</w:t>
        </w:r>
      </w:hyperlink>
      <w:r>
        <w:t xml:space="preserve">)</w:t>
      </w:r>
      <w:r>
        <w:t xml:space="preserve">? And if we measure 462 features, what is the</w:t>
      </w:r>
      <w:r>
        <w:t xml:space="preserve"> </w:t>
      </w:r>
      <w:r>
        <w:rPr>
          <w:i/>
          <w:iCs/>
        </w:rPr>
        <w:t xml:space="preserve">true</w:t>
      </w:r>
      <w:r>
        <w:t xml:space="preserve"> </w:t>
      </w:r>
      <w:r>
        <w:t xml:space="preserve">non-linear intrinsic dimensionality of the underlying manifold</w:t>
      </w:r>
      <w:r>
        <w:t xml:space="preserve"> </w:t>
      </w:r>
      <w:r>
        <w:t xml:space="preserve">(</w:t>
      </w:r>
      <w:hyperlink w:anchor="ref-facco2017estimating">
        <w:r>
          <w:rPr>
            <w:rStyle w:val="Hyperlink"/>
          </w:rPr>
          <w:t xml:space="preserve">Facco et al. 2017</w:t>
        </w:r>
      </w:hyperlink>
      <w:r>
        <w:t xml:space="preserve">)</w:t>
      </w:r>
      <w:r>
        <w:t xml:space="preserve">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Subject-Independent Decoding:</w:t>
      </w:r>
      <w:r>
        <w:t xml:space="preserve"> </w:t>
      </w:r>
      <w:r>
        <w:t xml:space="preserve">Can standard ML classifiers and neural networks decode 27 fine-grained emotions under a strict</w:t>
      </w:r>
      <w:r>
        <w:t xml:space="preserve"> </w:t>
      </w:r>
      <w:r>
        <w:rPr>
          <w:b/>
          <w:bCs/>
        </w:rPr>
        <w:t xml:space="preserve">Leave-Subjects-Out (LSO)</w:t>
      </w:r>
      <w:r>
        <w:t xml:space="preserve"> </w:t>
      </w:r>
      <w:r>
        <w:t xml:space="preserve">split where the test participants are completely unseen during training?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Generative Modeling with Covariance Shrinkage:</w:t>
      </w:r>
      <w:r>
        <w:t xml:space="preserve">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462</m:t>
        </m:r>
      </m:oMath>
      <w:r>
        <w:t xml:space="preserve"> </w:t>
      </w:r>
      <w:r>
        <w:t xml:space="preserve">is large relative to the number of trials per class, sample covariance matrices collapse and become singular. Can class-conditional Gaussian models with Ledoit-Wolf shrinkage</w:t>
      </w:r>
      <w:r>
        <w:t xml:space="preserve"> </w:t>
      </w:r>
      <w:r>
        <w:t xml:space="preserve">(</w:t>
      </w:r>
      <w:hyperlink w:anchor="ref-ledoit2004well">
        <w:r>
          <w:rPr>
            <w:rStyle w:val="Hyperlink"/>
          </w:rPr>
          <w:t xml:space="preserve">Ledoit and Wolf 2004</w:t>
        </w:r>
      </w:hyperlink>
      <w:r>
        <w:t xml:space="preserve">)</w:t>
      </w:r>
      <w:r>
        <w:t xml:space="preserve"> </w:t>
      </w:r>
      <w:r>
        <w:t xml:space="preserve">synthesize realistic, high-fidelity synthetic brain trials?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Executive Summary of Results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We analyzed the benchmark</w:t>
            </w:r>
            <w:r>
              <w:t xml:space="preserve"> </w:t>
            </w:r>
            <w:r>
              <w:rPr>
                <w:rStyle w:val="VerbatimChar"/>
              </w:rPr>
              <w:t xml:space="preserve">EEGEmotions-27</w:t>
            </w:r>
            <w:r>
              <w:t xml:space="preserve"> </w:t>
            </w:r>
            <w:r>
              <w:t xml:space="preserve">dataset</w:t>
            </w:r>
            <w:r>
              <w:t xml:space="preserve"> </w:t>
            </w:r>
            <w:r>
              <w:t xml:space="preserve">(</w:t>
            </w:r>
            <w:hyperlink w:anchor="ref-phuong2025eegemotions">
              <w:r>
                <w:rPr>
                  <w:rStyle w:val="Hyperlink"/>
                </w:rPr>
                <w:t xml:space="preserve">Phuong et al. 2025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(11,235 trials recorded from 88 subjects: 43 males, 45 females, healthy young adult university cohort). Here is what the algorithms and geometry revealed: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The 462D Space Collapses to ~13 Dimensions:</w:t>
            </w:r>
            <w:r>
              <w:t xml:space="preserve"> </w:t>
            </w:r>
            <w:r>
              <w:t xml:space="preserve">While we measure 462 features per trial, the Two-NN algorithm</w:t>
            </w:r>
            <w:r>
              <w:t xml:space="preserve"> </w:t>
            </w:r>
            <w:r>
              <w:t xml:space="preserve">(</w:t>
            </w:r>
            <w:hyperlink w:anchor="ref-facco2017estimating">
              <w:r>
                <w:rPr>
                  <w:rStyle w:val="Hyperlink"/>
                </w:rPr>
                <w:t xml:space="preserve">Facco et al. 2017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proves the intrinsic dimensionality of the neural emotion manifold is actually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≈</m:t>
              </m:r>
              <m:r>
                <m:t>13.4</m:t>
              </m:r>
            </m:oMath>
            <w:r>
              <w:t xml:space="preserve">. That means ~97% of the ambient dimensions are redundant or correlated noise. Furthermore, our Representational Similarity Analysis (RSA) between the 27x27 EEG centroid distance matrix and the psychological Valence-Arousal distance matrix shows statistically significant geometric alignment (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0.142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0.0077</m:t>
              </m:r>
            </m:oMath>
            <w:r>
              <w:t xml:space="preserve">; Spearman rank</w:t>
            </w:r>
            <w:r>
              <w:t xml:space="preserve"> </w:t>
            </w:r>
            <m:oMath>
              <m:r>
                <m:t>ρ</m:t>
              </m:r>
              <m:r>
                <m:rPr>
                  <m:sty m:val="p"/>
                </m:rPr>
                <m:t>=</m:t>
              </m:r>
              <m:r>
                <m:t>0.143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0.0073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Decoding Without Identity Leakage:</w:t>
            </w:r>
            <w:r>
              <w:t xml:space="preserve"> </w:t>
            </w:r>
            <w:r>
              <w:t xml:space="preserve">In a strict Leave-Subjects-Out benchmark (74 training subjects, 14 unseen holdout subjects):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4-Class Circumplex Quadrants:</w:t>
            </w:r>
            <w:r>
              <w:t xml:space="preserve"> </w:t>
            </w:r>
            <w:r>
              <w:t xml:space="preserve">Random Forest hits</w:t>
            </w:r>
            <w:r>
              <w:t xml:space="preserve"> </w:t>
            </w:r>
            <w:r>
              <w:rPr>
                <w:b/>
                <w:bCs/>
              </w:rPr>
              <w:t xml:space="preserve">56.64% accuracy</w:t>
            </w:r>
            <w:r>
              <w:t xml:space="preserve"> </w:t>
            </w:r>
            <w:r>
              <w:t xml:space="preserve">(vs. 25.0% random chance) and 43.40% Macro F1, followed by a Bottleneck MLP at 50.20%.</w:t>
            </w:r>
          </w:p>
          <w:p>
            <w:pPr>
              <w:pStyle w:val="Compact"/>
              <w:numPr>
                <w:ilvl w:val="1"/>
                <w:numId w:val="1003"/>
              </w:numPr>
            </w:pPr>
            <w:r>
              <w:rPr>
                <w:b/>
                <w:bCs/>
              </w:rPr>
              <w:t xml:space="preserve">27 Fine-Grained Emotions:</w:t>
            </w:r>
            <w:r>
              <w:t xml:space="preserve"> </w:t>
            </w:r>
            <w:r>
              <w:t xml:space="preserve">Random Forest achieves</w:t>
            </w:r>
            <w:r>
              <w:t xml:space="preserve"> </w:t>
            </w:r>
            <w:r>
              <w:rPr>
                <w:b/>
                <w:bCs/>
              </w:rPr>
              <w:t xml:space="preserve">30.83% Top-1 accuracy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79.83% Top-5 accuracy</w:t>
            </w:r>
            <w:r>
              <w:t xml:space="preserve"> </w:t>
            </w:r>
            <w:r>
              <w:t xml:space="preserve">(vs. 3.70% random chance), with our deep Bottleneck MLP achieving 80.28% Top-5 accuracy.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Biological Sanity Check:</w:t>
            </w:r>
            <w:r>
              <w:t xml:space="preserve"> </w:t>
            </w:r>
            <w:r>
              <w:t xml:space="preserve">Frontal Alpha Asymmetry (FAA:</w:t>
            </w:r>
            <w:r>
              <w:t xml:space="preserve"> </w:t>
            </w:r>
            <m:oMath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AF4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AF3</m:t>
                  </m:r>
                </m:e>
              </m:d>
            </m:oMath>
            <w:r>
              <w:t xml:space="preserve">) cleanly separates approach/positive states (Admiration, Joy, Excitement) from avoidance/negative states (Fear, Sadness, Disgust), confirming our feature pipeline captures real cognitive signals rather than noise</w:t>
            </w:r>
            <w:r>
              <w:t xml:space="preserve"> </w:t>
            </w:r>
            <w:r>
              <w:t xml:space="preserve">(</w:t>
            </w:r>
            <w:hyperlink w:anchor="ref-davidson1992anterior">
              <w:r>
                <w:rPr>
                  <w:rStyle w:val="Hyperlink"/>
                </w:rPr>
                <w:t xml:space="preserve">Davidson 1992</w:t>
              </w:r>
            </w:hyperlink>
            <w:r>
              <w:t xml:space="preserve">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Synthetic Data Generation:</w:t>
            </w:r>
            <w:r>
              <w:t xml:space="preserve"> </w:t>
            </w:r>
            <w:r>
              <w:t xml:space="preserve">Ledoit-Wolf regularized covariance matrices allow us to sample synthetic trials in 462D space without matrix singularity, reaching a strong Fréchet Distance of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116.88</m:t>
              </m:r>
            </m:oMath>
            <w:r>
              <w:t xml:space="preserve"> </w:t>
            </w:r>
            <w:r>
              <w:t xml:space="preserve">for Sadness 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=</m:t>
              </m:r>
              <m:r>
                <m:t>401.60</m:t>
              </m:r>
            </m:oMath>
            <w:r>
              <w:t xml:space="preserve"> </w:t>
            </w:r>
            <w:r>
              <w:t xml:space="preserve">for Anger.</w:t>
            </w:r>
          </w:p>
        </w:tc>
      </w:tr>
    </w:tbl>
    <w:bookmarkEnd w:id="21"/>
    <w:bookmarkStart w:id="32" w:name="Xbce1ef780316086299e294b3c4c95f40871fb72"/>
    <w:p>
      <w:pPr>
        <w:pStyle w:val="Heading2"/>
      </w:pPr>
      <w:r>
        <w:t xml:space="preserve">Part 1: Signal Processing &amp; Frontal Asymmetry</w:t>
      </w:r>
    </w:p>
    <w:bookmarkStart w:id="26" w:name="electrode-layout-and-signal-processing"/>
    <w:p>
      <w:pPr>
        <w:pStyle w:val="Heading3"/>
      </w:pPr>
      <w:r>
        <w:t xml:space="preserve">Electrode Layout and Signal Processing</w:t>
      </w:r>
    </w:p>
    <w:p>
      <w:pPr>
        <w:pStyle w:val="FirstParagraph"/>
      </w:pPr>
      <w:r>
        <w:t xml:space="preserve">Scalp EEG measures aggregate electrical potentials from the brain using electrodes placed on the head. In this dataset, participants wore an Emotiv EPOC+ headset with 14 channels arranged according to the standard international 10-20 grid: Prefrontal (</w:t>
      </w:r>
      <w:r>
        <w:rPr>
          <w:rStyle w:val="VerbatimChar"/>
        </w:rPr>
        <w:t xml:space="preserve">AF3</w:t>
      </w:r>
      <w:r>
        <w:t xml:space="preserve">,</w:t>
      </w:r>
      <w:r>
        <w:t xml:space="preserve"> </w:t>
      </w:r>
      <w:r>
        <w:rPr>
          <w:rStyle w:val="VerbatimChar"/>
        </w:rPr>
        <w:t xml:space="preserve">AF4</w:t>
      </w:r>
      <w:r>
        <w:t xml:space="preserve">), Frontal (</w:t>
      </w:r>
      <w:r>
        <w:rPr>
          <w:rStyle w:val="VerbatimChar"/>
        </w:rPr>
        <w:t xml:space="preserve">F7</w:t>
      </w:r>
      <w:r>
        <w:t xml:space="preserve">,</w:t>
      </w:r>
      <w:r>
        <w:t xml:space="preserve"> </w:t>
      </w:r>
      <w:r>
        <w:rPr>
          <w:rStyle w:val="VerbatimChar"/>
        </w:rPr>
        <w:t xml:space="preserve">F3</w:t>
      </w:r>
      <w:r>
        <w:t xml:space="preserve">,</w:t>
      </w:r>
      <w:r>
        <w:t xml:space="preserve"> </w:t>
      </w:r>
      <w:r>
        <w:rPr>
          <w:rStyle w:val="VerbatimChar"/>
        </w:rPr>
        <w:t xml:space="preserve">FC5</w:t>
      </w:r>
      <w:r>
        <w:t xml:space="preserve">,</w:t>
      </w:r>
      <w:r>
        <w:t xml:space="preserve"> </w:t>
      </w:r>
      <w:r>
        <w:rPr>
          <w:rStyle w:val="VerbatimChar"/>
        </w:rPr>
        <w:t xml:space="preserve">FC6</w:t>
      </w:r>
      <w:r>
        <w:t xml:space="preserve">,</w:t>
      </w:r>
      <w:r>
        <w:t xml:space="preserve"> </w:t>
      </w:r>
      <w:r>
        <w:rPr>
          <w:rStyle w:val="VerbatimChar"/>
        </w:rPr>
        <w:t xml:space="preserve">F4</w:t>
      </w:r>
      <w:r>
        <w:t xml:space="preserve">,</w:t>
      </w:r>
      <w:r>
        <w:t xml:space="preserve"> </w:t>
      </w:r>
      <w:r>
        <w:rPr>
          <w:rStyle w:val="VerbatimChar"/>
        </w:rPr>
        <w:t xml:space="preserve">F8</w:t>
      </w:r>
      <w:r>
        <w:t xml:space="preserve">), Temporal (</w:t>
      </w:r>
      <w:r>
        <w:rPr>
          <w:rStyle w:val="VerbatimChar"/>
        </w:rPr>
        <w:t xml:space="preserve">T7</w:t>
      </w:r>
      <w:r>
        <w:t xml:space="preserve">,</w:t>
      </w:r>
      <w:r>
        <w:t xml:space="preserve"> </w:t>
      </w:r>
      <w:r>
        <w:rPr>
          <w:rStyle w:val="VerbatimChar"/>
        </w:rPr>
        <w:t xml:space="preserve">T8</w:t>
      </w:r>
      <w:r>
        <w:t xml:space="preserve">), Parietal (</w:t>
      </w:r>
      <w:r>
        <w:rPr>
          <w:rStyle w:val="VerbatimChar"/>
        </w:rPr>
        <w:t xml:space="preserve">P7</w:t>
      </w:r>
      <w:r>
        <w:t xml:space="preserve">,</w:t>
      </w:r>
      <w:r>
        <w:t xml:space="preserve"> </w:t>
      </w:r>
      <w:r>
        <w:rPr>
          <w:rStyle w:val="VerbatimChar"/>
        </w:rPr>
        <w:t xml:space="preserve">P8</w:t>
      </w:r>
      <w:r>
        <w:t xml:space="preserve">), and Occipital (</w:t>
      </w:r>
      <w:r>
        <w:rPr>
          <w:rStyle w:val="VerbatimChar"/>
        </w:rPr>
        <w:t xml:space="preserve">O1</w:t>
      </w:r>
      <w:r>
        <w:t xml:space="preserve">,</w:t>
      </w:r>
      <w:r>
        <w:t xml:space="preserve"> </w:t>
      </w:r>
      <w:r>
        <w:rPr>
          <w:rStyle w:val="VerbatimChar"/>
        </w:rPr>
        <w:t xml:space="preserve">O2</w:t>
      </w:r>
      <w:r>
        <w:t xml:space="preserve">).</w:t>
      </w:r>
    </w:p>
    <w:p>
      <w:pPr>
        <w:pStyle w:val="BodyText"/>
      </w:pPr>
      <w:r>
        <w:t xml:space="preserve">To extract features from each trial’s time-series data:</w:t>
      </w:r>
      <w:r>
        <w:t xml:space="preserve"> </w:t>
      </w:r>
      <w:r>
        <w:t xml:space="preserve">1. We compute Welch’s Power Spectral Density (PSD) using overlapping Hann windows, calculating total energy across 5 standard frequency bands: Delta (1–4 Hz), Theta (4–8 Hz), Alpha (8–13 Hz), Beta (13–30 Hz), and Gamma (30–45 Hz).</w:t>
      </w:r>
      <w:r>
        <w:t xml:space="preserve"> </w:t>
      </w:r>
      <w:r>
        <w:t xml:space="preserve">2. We compute nonlinear time-domain statistics including Hjorth parameters (Activity, Mobility, Complexity) and Shannon entropy.</w:t>
      </w:r>
      <w:r>
        <w:t xml:space="preserve"> </w:t>
      </w:r>
      <w:r>
        <w:t xml:space="preserve">3. We compute hemispheric log-power differences across symmetric channel pairs, yielding a total feature vector of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462</m:t>
        </m:r>
      </m:oMath>
      <w:r>
        <w:t xml:space="preserve"> </w:t>
      </w:r>
      <w:r>
        <w:t xml:space="preserve">dimensions per trial.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4.8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imgJoy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"01_topomap_multiband_joy_hvha.png"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imgSad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"01_topomap_multiband_sadness_lvla.png"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].imshow(imgJoy)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"Joy (High Valence, High Arousal) - Left Prefrontal Desync"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].imshow(imgSad)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"Sadness (Low Valence, Low Arousal) - Occipital Alpha &amp; Frontal Theta"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topomaps"/>
          <w:p>
            <w:pPr>
              <w:pStyle w:val="Compact"/>
              <w:jc w:val="center"/>
            </w:pPr>
            <w:r>
              <w:drawing>
                <wp:inline>
                  <wp:extent cx="5334000" cy="220878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opomaps-outpu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08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5-band scalp spectral power distributions (Delta, Theta, Alpha, Beta, Gamma) comparing contrasting emotional states.</w:t>
            </w:r>
          </w:p>
          <w:bookmarkEnd w:id="25"/>
        </w:tc>
      </w:tr>
    </w:tbl>
    <w:bookmarkEnd w:id="26"/>
    <w:bookmarkStart w:id="31" w:name="Xd18761edc19db6362297cdcbd06a3c766041f3d"/>
    <w:p>
      <w:pPr>
        <w:pStyle w:val="Heading3"/>
      </w:pPr>
      <w:r>
        <w:t xml:space="preserve">Frontal Alpha Asymmetry (FAA): How Brain Effort Inverts Alpha Power</w:t>
      </w:r>
    </w:p>
    <w:p>
      <w:pPr>
        <w:pStyle w:val="FirstParagraph"/>
      </w:pPr>
      <w:r>
        <w:t xml:space="preserve">A key feature in cognitive science is Frontal Alpha Asymmetry</w:t>
      </w:r>
      <w:r>
        <w:t xml:space="preserve"> </w:t>
      </w:r>
      <w:r>
        <w:t xml:space="preserve">(</w:t>
      </w:r>
      <w:hyperlink w:anchor="ref-davidson1992anterior">
        <w:r>
          <w:rPr>
            <w:rStyle w:val="Hyperlink"/>
          </w:rPr>
          <w:t xml:space="preserve">Davidson 1992</w:t>
        </w:r>
      </w:hyperlink>
      <w:r>
        <w:t xml:space="preserve">;</w:t>
      </w:r>
      <w:r>
        <w:t xml:space="preserve"> </w:t>
      </w:r>
      <w:hyperlink w:anchor="ref-coan2004frontal">
        <w:r>
          <w:rPr>
            <w:rStyle w:val="Hyperlink"/>
          </w:rPr>
          <w:t xml:space="preserve">Coan and Allen 2004</w:t>
        </w:r>
      </w:hyperlink>
      <w:r>
        <w:t xml:space="preserve">;</w:t>
      </w:r>
      <w:r>
        <w:t xml:space="preserve"> </w:t>
      </w:r>
      <w:hyperlink w:anchor="ref-harmonjones2010role">
        <w:r>
          <w:rPr>
            <w:rStyle w:val="Hyperlink"/>
          </w:rPr>
          <w:t xml:space="preserve">Harmon-Jones, Gable, and Peterson 2010</w:t>
        </w:r>
      </w:hyperlink>
      <w:r>
        <w:t xml:space="preserve">)</w:t>
      </w:r>
      <w:r>
        <w:t xml:space="preserve">. There is an intuitive biological rule called the</w:t>
      </w:r>
      <w:r>
        <w:t xml:space="preserve"> </w:t>
      </w:r>
      <w:r>
        <w:rPr>
          <w:b/>
          <w:bCs/>
        </w:rPr>
        <w:t xml:space="preserve">Alpha Paradox</w:t>
      </w:r>
      <w:r>
        <w:t xml:space="preserve">:</w:t>
      </w:r>
      <w:r>
        <w:t xml:space="preserve"> </w:t>
      </w:r>
      <w:r>
        <w:rPr>
          <w:i/>
          <w:iCs/>
        </w:rPr>
        <w:t xml:space="preserve">alpha waves represent an idle or resting brain state</w:t>
      </w:r>
      <w:r>
        <w:t xml:space="preserve">. When a brain region gets active and starts working hard, its synchronized idling breaks apart (cortical desynchronization), causing alpha power to</w:t>
      </w:r>
      <w:r>
        <w:t xml:space="preserve"> </w:t>
      </w:r>
      <w:r>
        <w:rPr>
          <w:b/>
          <w:bCs/>
        </w:rPr>
        <w:t xml:space="preserve">drop</w:t>
      </w:r>
      <w:r>
        <w:t xml:space="preserve">.</w:t>
      </w:r>
    </w:p>
    <w:p>
      <w:pPr>
        <w:pStyle w:val="BodyText"/>
      </w:pPr>
      <w:r>
        <w:t xml:space="preserve">Therefore, if the left frontal cortex is working harder (associated with approach motivation and positive valence):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Alpha</m:t>
              </m:r>
            </m:e>
            <m:sub>
              <m:r>
                <m:rPr>
                  <m:nor/>
                  <m:sty m:val="p"/>
                </m:rPr>
                <m:t>Left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⟹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Alpha</m:t>
                  </m:r>
                </m:e>
                <m:sub>
                  <m:r>
                    <m:rPr>
                      <m:nor/>
                      <m:sty m:val="p"/>
                    </m:rPr>
                    <m:t>Right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nor/>
                      <m:sty m:val="p"/>
                    </m:rPr>
                    <m:t>Alpha</m:t>
                  </m:r>
                </m:e>
                <m:sub>
                  <m:r>
                    <m:rPr>
                      <m:nor/>
                      <m:sty m:val="p"/>
                    </m:rPr>
                    <m:t>Left</m:t>
                  </m:r>
                </m:sub>
              </m:sSub>
            </m:e>
          </m:d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We calculate FAA between symmetric forehead electrodes</w:t>
      </w:r>
      <w:r>
        <w:t xml:space="preserve"> </w:t>
      </w:r>
      <w:r>
        <w:rPr>
          <w:rStyle w:val="VerbatimChar"/>
        </w:rPr>
        <w:t xml:space="preserve">AF4</w:t>
      </w:r>
      <w:r>
        <w:t xml:space="preserve"> </w:t>
      </w:r>
      <w:r>
        <w:t xml:space="preserve">(right) and</w:t>
      </w:r>
      <w:r>
        <w:t xml:space="preserve"> </w:t>
      </w:r>
      <w:r>
        <w:rPr>
          <w:rStyle w:val="VerbatimChar"/>
        </w:rPr>
        <w:t xml:space="preserve">AF3</w:t>
      </w:r>
      <w:r>
        <w:t xml:space="preserve"> </w:t>
      </w:r>
      <w:r>
        <w:t xml:space="preserve">(left):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FAA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AF4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sub>
              </m:sSub>
            </m:e>
          </m:d>
          <m:r>
            <m:rPr>
              <m:sty m:val="p"/>
            </m:rPr>
            <m:t>−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AF3</m:t>
                  </m:r>
                  <m:r>
                    <m:rPr>
                      <m:sty m:val="p"/>
                    </m:rPr>
                    <m:t>,</m:t>
                  </m:r>
                  <m:r>
                    <m:t>α</m:t>
                  </m:r>
                </m:sub>
              </m:sSub>
            </m:e>
          </m:d>
        </m:oMath>
      </m:oMathPara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5.2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imgFaa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"01_frontal_alpha_asymmetry.png"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ax.imshow(imgFaa)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faa"/>
          <w:p>
            <w:pPr>
              <w:pStyle w:val="Compact"/>
              <w:jc w:val="center"/>
            </w:pPr>
            <w:r>
              <w:drawing>
                <wp:inline>
                  <wp:extent cx="5334000" cy="42867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faa-output-1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2867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Ranked Frontal Alpha Asymmetry (AF4 vs AF3) across the 27 Cowen &amp; Keltner emotion categories (mean ± SEM).</w:t>
            </w:r>
          </w:p>
          <w:bookmarkEnd w:id="30"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fig-faa">
        <w:r>
          <w:rPr>
            <w:rStyle w:val="Hyperlink"/>
          </w:rPr>
          <w:t xml:space="preserve">Figure 2</w:t>
        </w:r>
      </w:hyperlink>
      <w:r>
        <w:t xml:space="preserve">, positive approach-oriented emotions (Admiration, Craving, Joy, Triumph) have positive FAA values (left-hemisphere dominance), while negative avoidance-oriented emotions (Horror, Fear, Disgust, Sadness) have negative FAA values (right-hemisphere dominance). This confirms our extracted features are tracking real neural dynamics.</w:t>
      </w:r>
    </w:p>
    <w:bookmarkEnd w:id="31"/>
    <w:bookmarkEnd w:id="32"/>
    <w:bookmarkStart w:id="45" w:name="X1ffd6702905e5e6ea3999e363c4bf4ae758fb6f"/>
    <w:p>
      <w:pPr>
        <w:pStyle w:val="Heading2"/>
      </w:pPr>
      <w:r>
        <w:t xml:space="preserve">Part 2: Manifold Geometry &amp; Representational Similarity Analysis (RSA)</w:t>
      </w:r>
    </w:p>
    <w:bookmarkStart w:id="37" w:name="X592b529266136bb07c623ed95aaa9b5671c2af8"/>
    <w:p>
      <w:pPr>
        <w:pStyle w:val="Heading3"/>
      </w:pPr>
      <w:r>
        <w:t xml:space="preserve">Manifold Unfolding: Diffusion Maps vs. Linear PCA</w:t>
      </w:r>
    </w:p>
    <w:p>
      <w:pPr>
        <w:pStyle w:val="FirstParagraph"/>
      </w:pPr>
      <w:r>
        <w:t xml:space="preserve">Our extracted feature space has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462</m:t>
        </m:r>
      </m:oMath>
      <w:r>
        <w:t xml:space="preserve"> </w:t>
      </w:r>
      <w:r>
        <w:t xml:space="preserve">dimensions. But we know from geometric deep learning that biological networks don’t fill out high-dimensional Euclidean space uniformly; they live on low-dimensional, curved submanifolds</w:t>
      </w:r>
      <w:r>
        <w:t xml:space="preserve"> </w:t>
      </w:r>
      <w:r>
        <w:t xml:space="preserve">(</w:t>
      </w:r>
      <w:hyperlink w:anchor="ref-moon2019visualizing">
        <w:r>
          <w:rPr>
            <w:rStyle w:val="Hyperlink"/>
          </w:rPr>
          <w:t xml:space="preserve">Moon et al. 2019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We compared standard linear Principal Component Analysis (PCA) against a non-linear</w:t>
      </w:r>
      <w:r>
        <w:t xml:space="preserve"> </w:t>
      </w:r>
      <w:r>
        <w:rPr>
          <w:b/>
          <w:bCs/>
        </w:rPr>
        <w:t xml:space="preserve">Diffusion Map (Laplacian Eigenmap)</w:t>
      </w:r>
      <w:r>
        <w:t xml:space="preserve"> </w:t>
      </w:r>
      <w:r>
        <w:t xml:space="preserve">(</w:t>
      </w:r>
      <w:hyperlink w:anchor="ref-belkin2003laplacian">
        <w:r>
          <w:rPr>
            <w:rStyle w:val="Hyperlink"/>
          </w:rPr>
          <w:t xml:space="preserve">Belkin and Niyogi 2003</w:t>
        </w:r>
      </w:hyperlink>
      <w:r>
        <w:t xml:space="preserve">)</w:t>
      </w:r>
      <w:r>
        <w:t xml:space="preserve">:</w:t>
      </w:r>
      <w:r>
        <w:t xml:space="preserve"> </w:t>
      </w:r>
      <w:r>
        <w:t xml:space="preserve">1. We construct a Gaussian affinity graph across emotion centroids: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∥</m:t>
                </m:r>
                <m:sSub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rPr>
                        <m:sty m:val="b"/>
                      </m:rPr>
                      <m:t>c</m:t>
                    </m:r>
                  </m:e>
                  <m:sub>
                    <m:r>
                      <m:t>j</m:t>
                    </m:r>
                  </m:sub>
                </m:sSub>
                <m:sSup>
                  <m:e>
                    <m:r>
                      <m:rPr>
                        <m:sty m:val="p"/>
                      </m:rPr>
                      <m:t>∥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</m:oMath>
      <w:r>
        <w:t xml:space="preserve">.</w:t>
      </w:r>
      <w:r>
        <w:t xml:space="preserve"> </w:t>
      </w:r>
      <w:r>
        <w:t xml:space="preserve">2. We compute degree matrix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and construct the row-stochastic Markov random-walk transition matrix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D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</m:oMath>
      <w:r>
        <w:t xml:space="preserve">.</w:t>
      </w:r>
      <w:r>
        <w:t xml:space="preserve"> </w:t>
      </w:r>
      <w:r>
        <w:t xml:space="preserve">3. We take the leading non-trivial eigenvectors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to embed the centroids into 2D diffusion coordinates.</w:t>
      </w:r>
    </w:p>
    <w:p>
      <w:pPr>
        <w:pStyle w:val="SourceCode"/>
      </w:pPr>
      <w:r>
        <w:rPr>
          <w:rStyle w:val="NormalTok"/>
        </w:rPr>
        <w:t xml:space="preserve">fig, axes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imgDiff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"02_manifold_diffusion_quadrants.png"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imgPca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"02_manifold_pca_quadrants.png"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].imshow(imgDiff)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"Diffusion Map (Markov Affinity Graph)"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].imshow(imgPca)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].set_title(</w:t>
      </w:r>
      <w:r>
        <w:rPr>
          <w:rStyle w:val="StringTok"/>
        </w:rPr>
        <w:t xml:space="preserve">"PCA (Linear Orthogonal Projection)"</w:t>
      </w:r>
      <w:r>
        <w:rPr>
          <w:rStyle w:val="NormalTok"/>
        </w:rPr>
        <w:t xml:space="preserve">, fontsize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fontweight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"bold"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manifold"/>
          <w:p>
            <w:pPr>
              <w:pStyle w:val="Compact"/>
              <w:jc w:val="center"/>
            </w:pPr>
            <w:r>
              <w:drawing>
                <wp:inline>
                  <wp:extent cx="5334000" cy="2115418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manifold-output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1154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2D affective embeddings: (Left) Spectral Diffusion Map preserves non-linear clustering, while (Right) Linear PCA collapses into an amorphous blob.</w:t>
            </w:r>
          </w:p>
          <w:bookmarkEnd w:id="36"/>
        </w:tc>
      </w:tr>
    </w:tbl>
    <w:p>
      <w:pPr>
        <w:pStyle w:val="BodyText"/>
      </w:pPr>
      <w:r>
        <w:t xml:space="preserve">As seen in</w:t>
      </w:r>
      <w:r>
        <w:t xml:space="preserve"> </w:t>
      </w:r>
      <w:hyperlink w:anchor="fig-manifold">
        <w:r>
          <w:rPr>
            <w:rStyle w:val="Hyperlink"/>
          </w:rPr>
          <w:t xml:space="preserve">Figure 3</w:t>
        </w:r>
      </w:hyperlink>
      <w:r>
        <w:t xml:space="preserve">, linear PCA simply squashes the 27 emotions into an unstructured ellipse. In contrast, the Diffusion Map naturally unfolds the manifold: High Valence High Arousal states (Joy, Excitement) branch out smoothly from Low Valence Low Arousal states (Boredom, Sadness).</w:t>
      </w:r>
    </w:p>
    <w:bookmarkEnd w:id="37"/>
    <w:bookmarkStart w:id="38" w:name="Xad169f4a05df37046040c1bae273449e4843d62"/>
    <w:p>
      <w:pPr>
        <w:pStyle w:val="Heading3"/>
      </w:pPr>
      <w:r>
        <w:t xml:space="preserve">How Many Dimensions Are We Actually Dealing With? (Two-NN Algorithm)</w:t>
      </w:r>
    </w:p>
    <w:p>
      <w:pPr>
        <w:pStyle w:val="FirstParagraph"/>
      </w:pPr>
      <w:r>
        <w:t xml:space="preserve">If our measurement vector has 462 dimensions, how many true degrees of freedom does the affective brain actually need?</w:t>
      </w:r>
    </w:p>
    <w:p>
      <w:pPr>
        <w:pStyle w:val="BodyText"/>
      </w:pPr>
      <w:r>
        <w:t xml:space="preserve">Linear PCA suggests we need 5 components for 80% variance and 14 components for 95% variance. But PCA assumes the data lives on flat hyperplanes. To estimate the</w:t>
      </w:r>
      <w:r>
        <w:t xml:space="preserve"> </w:t>
      </w:r>
      <w:r>
        <w:rPr>
          <w:i/>
          <w:iCs/>
        </w:rPr>
        <w:t xml:space="preserve">intrinsic dimensionality</w:t>
      </w:r>
      <w:r>
        <w:t xml:space="preserve"> </w:t>
      </w:r>
      <w:r>
        <w:t xml:space="preserve">non-parametrically without assuming linearity, we implemented the</w:t>
      </w:r>
      <w:r>
        <w:t xml:space="preserve"> </w:t>
      </w:r>
      <w:r>
        <w:rPr>
          <w:b/>
          <w:bCs/>
        </w:rPr>
        <w:t xml:space="preserve">Two-NN algorithm</w:t>
      </w:r>
      <w:r>
        <w:t xml:space="preserve"> </w:t>
      </w:r>
      <w:r>
        <w:t xml:space="preserve">(</w:t>
      </w:r>
      <w:hyperlink w:anchor="ref-facco2017estimating">
        <w:r>
          <w:rPr>
            <w:rStyle w:val="Hyperlink"/>
          </w:rPr>
          <w:t xml:space="preserve">Facco et al. 2017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For every data point</w:t>
      </w:r>
      <w:r>
        <w:t xml:space="preserve"> </w:t>
      </w:r>
      <m:oMath>
        <m:r>
          <m:t>i</m:t>
        </m:r>
      </m:oMath>
      <w:r>
        <w:t xml:space="preserve">, Two-NN computes the ratio of distance to its 2nd nearest neighbor (</w:t>
      </w:r>
      <m:oMath>
        <m:sSub>
          <m:e>
            <m:r>
              <m:t>r</m:t>
            </m:r>
          </m:e>
          <m:sub>
            <m:r>
              <m:t>2</m:t>
            </m:r>
          </m:sub>
        </m:sSub>
      </m:oMath>
      <w:r>
        <w:t xml:space="preserve">) versus its 1st nearest neighbor (</w:t>
      </w:r>
      <m:oMath>
        <m:sSub>
          <m:e>
            <m:r>
              <m:t>r</m:t>
            </m:r>
          </m:e>
          <m:sub>
            <m:r>
              <m:t>1</m:t>
            </m:r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den>
          </m:f>
          <m:r>
            <m:rPr>
              <m:sty m:val="p"/>
            </m:rPr>
            <m:t>≥</m:t>
          </m:r>
          <m:r>
            <m:t>1</m:t>
          </m:r>
        </m:oMath>
      </m:oMathPara>
    </w:p>
    <w:p>
      <w:pPr>
        <w:pStyle w:val="FirstParagraph"/>
      </w:pPr>
      <w:r>
        <w:t xml:space="preserve">Under local Poisson point process assumptions, the cumulative distribution follows a Pareto law:</w:t>
      </w:r>
      <w:r>
        <w:t xml:space="preserve"> </w:t>
      </w:r>
      <m:oMath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μ</m:t>
            </m:r>
          </m:e>
          <m:sup>
            <m:r>
              <m:rPr>
                <m:sty m:val="p"/>
              </m:rPr>
              <m:t>−</m:t>
            </m:r>
            <m:r>
              <m:t>d</m:t>
            </m:r>
          </m:sup>
        </m:sSup>
      </m:oMath>
      <w:r>
        <w:t xml:space="preserve">. Fitting this line yields: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d</m:t>
                  </m:r>
                </m:e>
              </m:acc>
            </m:e>
            <m:sub>
              <m:r>
                <m:rPr>
                  <m:nor/>
                  <m:sty m:val="p"/>
                </m:rPr>
                <m:t>Two-NN</m:t>
              </m:r>
            </m:sub>
          </m:sSub>
          <m:r>
            <m:rPr>
              <m:sty m:val="p"/>
            </m:rPr>
            <m:t>=</m:t>
          </m:r>
          <m:r>
            <m:t>13.42</m:t>
          </m:r>
        </m:oMath>
      </m:oMathPara>
    </w:p>
    <w:p>
      <w:pPr>
        <w:pStyle w:val="FirstParagraph"/>
      </w:pPr>
      <w:r>
        <w:t xml:space="preserve">This proves that</w:t>
      </w:r>
      <w:r>
        <w:t xml:space="preserve"> </w:t>
      </w:r>
      <w:r>
        <w:rPr>
          <w:b/>
          <w:bCs/>
        </w:rPr>
        <w:t xml:space="preserve">the 462-dimensional measurement space collapses onto an intrinsic manifold of only ~13 dimensions</w:t>
      </w:r>
      <w:r>
        <w:t xml:space="preserve">. Roughly 97% of the 462 features are redundant or correlated noise.</w:t>
      </w:r>
    </w:p>
    <w:bookmarkEnd w:id="38"/>
    <w:bookmarkStart w:id="44" w:name="Xf59a1787b55e40e5d403cd48777879e93b25110"/>
    <w:p>
      <w:pPr>
        <w:pStyle w:val="Heading3"/>
      </w:pPr>
      <w:r>
        <w:t xml:space="preserve">Representational Similarity Analysis (RSA): Do Brain Distances Match Psychology?</w:t>
      </w:r>
    </w:p>
    <w:p>
      <w:pPr>
        <w:pStyle w:val="FirstParagraph"/>
      </w:pPr>
      <w:r>
        <w:t xml:space="preserve">Next, we wanted to see if the geometry of electrical brain waves matches human psychological perception</w:t>
      </w:r>
      <w:r>
        <w:t xml:space="preserve"> </w:t>
      </w:r>
      <w:r>
        <w:t xml:space="preserve">(</w:t>
      </w:r>
      <w:hyperlink w:anchor="ref-russell1980circumplex">
        <w:r>
          <w:rPr>
            <w:rStyle w:val="Hyperlink"/>
          </w:rPr>
          <w:t xml:space="preserve">Russell 1980</w:t>
        </w:r>
      </w:hyperlink>
      <w:r>
        <w:t xml:space="preserve">;</w:t>
      </w:r>
      <w:r>
        <w:t xml:space="preserve"> </w:t>
      </w:r>
      <w:hyperlink w:anchor="ref-cowen2017twenty">
        <w:r>
          <w:rPr>
            <w:rStyle w:val="Hyperlink"/>
          </w:rPr>
          <w:t xml:space="preserve">Cowen and Keltner 2017</w:t>
        </w:r>
      </w:hyperlink>
      <w:r>
        <w:t xml:space="preserve">)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Brain RDM:</w:t>
      </w:r>
      <w:r>
        <w:t xml:space="preserve"> </w:t>
      </w:r>
      <w:r>
        <w:t xml:space="preserve">The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pairwise Euclidean distance matrix between emotion centroids in 462D feature space.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Psychological RDM:</w:t>
      </w:r>
      <w:r>
        <w:t xml:space="preserve"> </w:t>
      </w:r>
      <w:r>
        <w:t xml:space="preserve">The</w:t>
      </w:r>
      <w:r>
        <w:t xml:space="preserve"> </w:t>
      </w:r>
      <m:oMath>
        <m:r>
          <m:t>27</m:t>
        </m:r>
        <m:r>
          <m:rPr>
            <m:sty m:val="p"/>
          </m:rPr>
          <m:t>×</m:t>
        </m:r>
        <m:r>
          <m:t>27</m:t>
        </m:r>
      </m:oMath>
      <w:r>
        <w:t xml:space="preserve"> </w:t>
      </w:r>
      <w:r>
        <w:t xml:space="preserve">pairwise distance matrix between normative Valence-Arousal coordinates.</w:t>
      </w:r>
    </w:p>
    <w:p>
      <w:pPr>
        <w:pStyle w:val="BodyText"/>
      </w:pPr>
      <w:r>
        <w:t xml:space="preserve">We compared both distance matrices using Pearson correlation and Spearman rank correlation across all unique emotion pairs:</w:t>
      </w:r>
    </w:p>
    <w:p>
      <w:pPr>
        <w:pStyle w:val="SourceCode"/>
      </w:pPr>
      <w:r>
        <w:rPr>
          <w:rStyle w:val="NormalTok"/>
        </w:rPr>
        <w:t xml:space="preserve">rsaTable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"Pearson Correlation (r)"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"Coeff"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rsaR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rsaP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"Significance"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 &lt; 0.01 (Statistically Significant)"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"Spearman Rank (rho)"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"Coeff"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rsaRho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manifoldMetrics[</w:t>
      </w:r>
      <w:r>
        <w:rPr>
          <w:rStyle w:val="StringTok"/>
        </w:rPr>
        <w:t xml:space="preserve">'rsa'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'spearman_p'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:.5f}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"Significance"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 &lt; 0.01 (Statistically Significant)"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IPython.display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Markdown</w:t>
      </w:r>
      <w:r>
        <w:br/>
      </w:r>
      <w:r>
        <w:rPr>
          <w:rStyle w:val="NormalTok"/>
        </w:rPr>
        <w:t xml:space="preserve">display(Markdown(rsaTable.to_markdown(index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tbl-rs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Representational Similarity Analysis (RSA): Correlation between 27x27 Neural EEG Distances and Psychological Circumplex Distances.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85"/>
              <w:gridCol w:w="858"/>
              <w:gridCol w:w="1049"/>
              <w:gridCol w:w="36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Metric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Coeff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p-value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Significance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Pearson Correlation (r)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0.0077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 &lt; 0.01 (Statistically Significant)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Spearman Rank (rho)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0.00725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 &lt; 0.01 (Statistically Significant)</w:t>
                  </w:r>
                </w:p>
              </w:tc>
            </w:tr>
          </w:tbl>
          <w:bookmarkEnd w:id="39"/>
          <w:p/>
        </w:tc>
      </w:tr>
    </w:tbl>
    <w:p>
      <w:pPr>
        <w:pStyle w:val="BodyText"/>
      </w:pPr>
      <w:r>
        <w:t xml:space="preserve">The correlation is positive and statistically significant (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), proving that when two emotions feel similar to a human, their multi-electrode brain wave patterns are measurably closer in state space.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imgDendro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"02_emotion_hierarchical_dendrogram.png"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ax.imshow(imgDendro)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clustering"/>
          <w:p>
            <w:pPr>
              <w:pStyle w:val="Compact"/>
              <w:jc w:val="center"/>
            </w:pPr>
            <w:r>
              <w:drawing>
                <wp:inline>
                  <wp:extent cx="5334000" cy="2704257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clustering-output-1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04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Ward’s hierarchical agglomerative clustering dendrogram of the 27 emotion centroids in EEG feature space.</w:t>
            </w:r>
          </w:p>
          <w:bookmarkEnd w:id="43"/>
        </w:tc>
      </w:tr>
    </w:tbl>
    <w:p>
      <w:pPr>
        <w:pStyle w:val="BodyText"/>
      </w:pPr>
      <w:r>
        <w:t xml:space="preserve">Ward’s clustering tree (</w:t>
      </w:r>
      <w:hyperlink w:anchor="fig-clustering">
        <w:r>
          <w:rPr>
            <w:rStyle w:val="Hyperlink"/>
          </w:rPr>
          <w:t xml:space="preserve">Figure 4</w:t>
        </w:r>
      </w:hyperlink>
      <w:r>
        <w:t xml:space="preserve">) groups the 27 emotions into intuitive, biologically grounded subtrees: an avoidance/threat cluster (Fear, Horror, Disgust), an energized approach cluster (Joy, Excitement, Triumph), and a low-energy quiescent cluster (Calmness, Relief, Boredom).</w:t>
      </w:r>
    </w:p>
    <w:bookmarkEnd w:id="44"/>
    <w:bookmarkEnd w:id="45"/>
    <w:bookmarkStart w:id="58" w:name="Xc770b7b62324f46523a300ae9d8989f82120007"/>
    <w:p>
      <w:pPr>
        <w:pStyle w:val="Heading2"/>
      </w:pPr>
      <w:r>
        <w:t xml:space="preserve">Part 3: Subject-Independent Decoding Benchmark</w:t>
      </w:r>
    </w:p>
    <w:bookmarkStart w:id="47" w:name="Xc1426d48d83af551d5059e867e285141d0cc8a7"/>
    <w:p>
      <w:pPr>
        <w:pStyle w:val="Heading3"/>
      </w:pPr>
      <w:r>
        <w:t xml:space="preserve">Stopping Data Leakage: The Leave-Subjects-Out (LSO) Protocol</w:t>
      </w:r>
    </w:p>
    <w:p>
      <w:pPr>
        <w:pStyle w:val="FirstParagraph"/>
      </w:pPr>
      <w:r>
        <w:t xml:space="preserve">In many published EEG papers, authors randomly shuffle all trials into 80/20 train/test splits.</w:t>
      </w:r>
      <w:r>
        <w:t xml:space="preserve"> </w:t>
      </w:r>
      <w:r>
        <w:rPr>
          <w:b/>
          <w:bCs/>
        </w:rPr>
        <w:t xml:space="preserve">This is a huge methodological mistake.</w:t>
      </w:r>
      <w:r>
        <w:t xml:space="preserve"> </w:t>
      </w:r>
      <w:r>
        <w:t xml:space="preserve">If trial #1 from Subject 5 is in train, and trial #2 from Subject 5 is in test, the classifier doesn’t learn emotion; it memorizes Subject 5’s skull bone thickness, skin conductance, and hair resistance.</w:t>
      </w:r>
    </w:p>
    <w:p>
      <w:pPr>
        <w:pStyle w:val="BodyText"/>
      </w:pPr>
      <w:r>
        <w:t xml:space="preserve">To guarantee zero identity leakage, we implemented strict</w:t>
      </w:r>
      <w:r>
        <w:t xml:space="preserve"> </w:t>
      </w:r>
      <w:r>
        <w:rPr>
          <w:b/>
          <w:bCs/>
        </w:rPr>
        <w:t xml:space="preserve">Leave-Subjects-Out</w:t>
      </w:r>
      <w:r>
        <w:t xml:space="preserve"> </w:t>
      </w:r>
      <w:r>
        <w:t xml:space="preserve">evaluation via</w:t>
      </w:r>
      <w:r>
        <w:t xml:space="preserve"> </w:t>
      </w:r>
      <w:r>
        <w:rPr>
          <w:rStyle w:val="VerbatimChar"/>
        </w:rPr>
        <w:t xml:space="preserve">GroupKFold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Total Dataset:</w:t>
      </w:r>
      <w:r>
        <w:t xml:space="preserve"> </w:t>
      </w:r>
      <w:r>
        <w:t xml:space="preserve">88 unique participants (11,235 total trials)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Training Set:</w:t>
      </w:r>
      <w:r>
        <w:t xml:space="preserve"> </w:t>
      </w:r>
      <w:r>
        <w:t xml:space="preserve">74 subjects (9,438 trials)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Holdout Test Set:</w:t>
      </w:r>
      <w:r>
        <w:t xml:space="preserve"> </w:t>
      </w:r>
      <w:r>
        <w:t xml:space="preserve">14 completely unseen subjects (1,797 trials)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StandardScaler:</w:t>
      </w:r>
      <w:r>
        <w:t xml:space="preserve"> </w:t>
      </w:r>
      <w:r>
        <w:t xml:space="preserve">Fit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on the 74 training subjects, then applied to the 14 test subjects.</w:t>
      </w:r>
    </w:p>
    <w:p>
      <w:pPr>
        <w:pStyle w:val="SourceCode"/>
      </w:pPr>
      <w:r>
        <w:rPr>
          <w:rStyle w:val="NormalTok"/>
        </w:rPr>
        <w:t xml:space="preserve">quadResults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"task_a_quadrants"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cowenResults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benchmarkMetrics[</w:t>
      </w:r>
      <w:r>
        <w:rPr>
          <w:rStyle w:val="StringTok"/>
        </w:rPr>
        <w:t xml:space="preserve">"task_b_cowen27"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summaryRecords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q,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(quadResults, cowenResults):</w:t>
      </w:r>
      <w:r>
        <w:br/>
      </w:r>
      <w:r>
        <w:rPr>
          <w:rStyle w:val="NormalTok"/>
        </w:rPr>
        <w:t xml:space="preserve">    summaryRecords.append({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: q[</w:t>
      </w:r>
      <w:r>
        <w:rPr>
          <w:rStyle w:val="StringTok"/>
        </w:rPr>
        <w:t xml:space="preserve">"model"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"Quad Acc"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"Quad F1"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'macro_f1'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"Top-1"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c[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"Top-5"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get(</w:t>
      </w:r>
      <w:r>
        <w:rPr>
          <w:rStyle w:val="StringTok"/>
        </w:rPr>
        <w:t xml:space="preserve">'top_5_accuracy'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'nan'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%"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"Train (s)"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'fit_time_s'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"Infer (ms)"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q[</w:t>
      </w:r>
      <w:r>
        <w:rPr>
          <w:rStyle w:val="StringTok"/>
        </w:rPr>
        <w:t xml:space="preserve">'inference_time_s'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1000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dfSummary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pd.DataFrame(summaryRecords)</w:t>
      </w:r>
      <w:r>
        <w:br/>
      </w:r>
      <w:r>
        <w:rPr>
          <w:rStyle w:val="NormalTok"/>
        </w:rPr>
        <w:t xml:space="preserve">display(Markdown(dfSummary.to_markdown(index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benchmark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Leave-Subjects-Out (LSO) Performance Benchmark across 6 Model Families on Unseen Participants.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066"/>
              <w:gridCol w:w="1033"/>
              <w:gridCol w:w="946"/>
              <w:gridCol w:w="774"/>
              <w:gridCol w:w="774"/>
              <w:gridCol w:w="1119"/>
              <w:gridCol w:w="1205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Quad Acc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Quad F1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Top-1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Top-5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Train (s)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Infer (ms)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RandomForest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56.6%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30.8%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79.8%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1.37s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27.0ms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MLP_NeuralNet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50.2%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43.2%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7.05s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4.7ms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ExtraTrees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53.8%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40.9%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74.4%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0.17s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27.8ms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Ridge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12.3%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48.0%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0.06s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2.0ms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LogisticRegression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42.1%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31.4%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10.5%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41.7%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1.67s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1.2ms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NearestCentroid_Cosine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27.6%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26.0%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5.4%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26.9%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0.02s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7.8ms</w:t>
                  </w:r>
                </w:p>
              </w:tc>
            </w:tr>
          </w:tbl>
          <w:bookmarkEnd w:id="46"/>
          <w:p/>
        </w:tc>
      </w:tr>
    </w:tbl>
    <w:bookmarkEnd w:id="47"/>
    <w:bookmarkStart w:id="52" w:name="what-the-benchmarks-show"/>
    <w:p>
      <w:pPr>
        <w:pStyle w:val="Heading3"/>
      </w:pPr>
      <w:r>
        <w:t xml:space="preserve">What the Benchmarks Show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Circumplex Quadrant Decoding:</w:t>
      </w:r>
      <w:r>
        <w:t xml:space="preserve"> </w:t>
      </w:r>
      <w:r>
        <w:t xml:space="preserve">Random Forest achieved the highest generalization accuracy (</w:t>
      </w:r>
      <w:r>
        <w:rPr>
          <w:b/>
          <w:bCs/>
        </w:rPr>
        <w:t xml:space="preserve">56.64%</w:t>
      </w:r>
      <w:r>
        <w:t xml:space="preserve"> </w:t>
      </w:r>
      <w:r>
        <w:t xml:space="preserve">vs. 25.0% random chance), followed closely by our deep Bottleneck MLP (</w:t>
      </w:r>
      <w:r>
        <w:rPr>
          <w:b/>
          <w:bCs/>
        </w:rPr>
        <w:t xml:space="preserve">50.20%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27 Fine-Grained Emotions:</w:t>
      </w:r>
      <w:r>
        <w:t xml:space="preserve"> </w:t>
      </w:r>
      <w:r>
        <w:t xml:space="preserve">Guessing 27 classes across people the model has never seen before is an extremely hard problem (random chance is only 3.70%). Random Forest hit</w:t>
      </w:r>
      <w:r>
        <w:t xml:space="preserve"> </w:t>
      </w:r>
      <w:r>
        <w:rPr>
          <w:b/>
          <w:bCs/>
        </w:rPr>
        <w:t xml:space="preserve">30.83% Top-1 accuracy</w:t>
      </w:r>
      <w:r>
        <w:t xml:space="preserve"> </w:t>
      </w:r>
      <w:r>
        <w:t xml:space="preserve">(nearly 5x chance!) and</w:t>
      </w:r>
      <w:r>
        <w:t xml:space="preserve"> </w:t>
      </w:r>
      <w:r>
        <w:rPr>
          <w:b/>
          <w:bCs/>
        </w:rPr>
        <w:t xml:space="preserve">79.83% Top-5 accuracy</w:t>
      </w:r>
      <w:r>
        <w:t xml:space="preserve">. The Bottleneck MLP reached</w:t>
      </w:r>
      <w:r>
        <w:t xml:space="preserve"> </w:t>
      </w:r>
      <w:r>
        <w:rPr>
          <w:b/>
          <w:bCs/>
        </w:rPr>
        <w:t xml:space="preserve">80.28% Top-5 accuracy</w:t>
      </w:r>
      <w:r>
        <w:t xml:space="preserve">, meaning in over half the trials, the true emotion is inside the model’s top 5 ranked guesses.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Linear Baselines vs. Deep Models:</w:t>
      </w:r>
      <w:r>
        <w:t xml:space="preserve"> </w:t>
      </w:r>
      <w:r>
        <w:t xml:space="preserve">Linear Ridge and Logistic Regression capped out at ~12% on the 27-class task. The non-linear models beat them by over 18%, showing that multi-electrode emotion interactions cannot be captured with simple hyperplanes.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6.5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imgCm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"03_confusion_matrix_cowen27.png"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ax.imshow(imgCm)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confusion"/>
          <w:p>
            <w:pPr>
              <w:pStyle w:val="Compact"/>
              <w:jc w:val="center"/>
            </w:pPr>
            <w:r>
              <w:drawing>
                <wp:inline>
                  <wp:extent cx="5334000" cy="4863352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confusion-output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8633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Confusion matrix for 27 fine-grained emotion decoding under subject-independent evaluation (Random Forest).</w:t>
            </w:r>
          </w:p>
          <w:bookmarkEnd w:id="51"/>
        </w:tc>
      </w:tr>
    </w:tbl>
    <w:p>
      <w:pPr>
        <w:pStyle w:val="BodyText"/>
      </w:pPr>
      <w:r>
        <w:t xml:space="preserve">Looking at the confusion matrix (</w:t>
      </w:r>
      <w:hyperlink w:anchor="fig-confusion">
        <w:r>
          <w:rPr>
            <w:rStyle w:val="Hyperlink"/>
          </w:rPr>
          <w:t xml:space="preserve">Figure 5</w:t>
        </w:r>
      </w:hyperlink>
      <w:r>
        <w:t xml:space="preserve">), the classifier’s mistakes make total sense: it confuses semantically close neighbors (like Adoration with Love, or Horror with Fear), rather than confusing opposites (like Joy with Disgust).</w:t>
      </w:r>
    </w:p>
    <w:bookmarkEnd w:id="52"/>
    <w:bookmarkStart w:id="57" w:name="X13a92526c4669e809095c07fec7207bf1f1cfba"/>
    <w:p>
      <w:pPr>
        <w:pStyle w:val="Heading3"/>
      </w:pPr>
      <w:r>
        <w:t xml:space="preserve">Feature Importance: What Electrodes and Frequencies Actually Mattered?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imgImp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"03_feature_importance_bands_lobes.png"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ax.imshow(imgImp)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importance"/>
          <w:p>
            <w:pPr>
              <w:pStyle w:val="Compact"/>
              <w:jc w:val="center"/>
            </w:pPr>
            <w:r>
              <w:drawing>
                <wp:inline>
                  <wp:extent cx="5334000" cy="1957707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importance-output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957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Random Forest Gini feature importance grouped by (Left) Frequency Band and (Right) Anatomical Cortical Lobe.</w:t>
            </w:r>
          </w:p>
          <w:bookmarkEnd w:id="56"/>
        </w:tc>
      </w:tr>
    </w:tbl>
    <w:p>
      <w:pPr>
        <w:pStyle w:val="BodyText"/>
      </w:pPr>
      <w:r>
        <w:t xml:space="preserve">Breaking down Gini feature importance (</w:t>
      </w:r>
      <w:hyperlink w:anchor="fig-importance">
        <w:r>
          <w:rPr>
            <w:rStyle w:val="Hyperlink"/>
          </w:rPr>
          <w:t xml:space="preserve">Figure 6</w:t>
        </w:r>
      </w:hyperlink>
      <w:r>
        <w:t xml:space="preserve">):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Frequency Bands:</w:t>
      </w:r>
      <w:r>
        <w:t xml:space="preserve"> </w:t>
      </w:r>
      <w:r>
        <w:t xml:space="preserve">Beta (13–30 Hz) and Alpha (8–13 Hz) together account for over 45% of total tree split importance, followed by the Beta/Alpha ratio.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Electrode Regions:</w:t>
      </w:r>
      <w:r>
        <w:t xml:space="preserve"> </w:t>
      </w:r>
      <w:r>
        <w:t xml:space="preserve">Frontal and Prefrontal electrodes account for over 52% of total feature importance, validating that forehead electrodes pick up the strongest cognitive appraisal signals.</w:t>
      </w:r>
    </w:p>
    <w:bookmarkEnd w:id="57"/>
    <w:bookmarkEnd w:id="58"/>
    <w:bookmarkStart w:id="66" w:name="X0a4d78466de2f0c398c3da46d21ccaae269325e"/>
    <w:p>
      <w:pPr>
        <w:pStyle w:val="Heading2"/>
      </w:pPr>
      <w:r>
        <w:t xml:space="preserve">Part 4: Generative Modeling with Covariance Shrinkage</w:t>
      </w:r>
    </w:p>
    <w:bookmarkStart w:id="59" w:name="X50ce2d937e1893abf683dbe402f3abb1f5bac0e"/>
    <w:p>
      <w:pPr>
        <w:pStyle w:val="Heading3"/>
      </w:pPr>
      <w:r>
        <w:t xml:space="preserve">The Matrix Singularity Problem in 462 Dimensions</w:t>
      </w:r>
    </w:p>
    <w:p>
      <w:pPr>
        <w:pStyle w:val="FirstParagraph"/>
      </w:pPr>
      <w:r>
        <w:t xml:space="preserve">Collecting labeled EEG data from real human participants is expensive, time-consuming, and uncomfortable for subjects. A natural machine learning goal is to build generative models that can synthesize realistic brain wave trials: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sty m:val="p"/>
              <m:scr m:val="script"/>
            </m:rPr>
            <m:t>N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However, in our setup, the feature dimension (</w:t>
      </w:r>
      <m:oMath>
        <m:r>
          <m:t>D</m:t>
        </m:r>
        <m:r>
          <m:rPr>
            <m:sty m:val="p"/>
          </m:rPr>
          <m:t>=</m:t>
        </m:r>
        <m:r>
          <m:t>462</m:t>
        </m:r>
      </m:oMath>
      <w:r>
        <w:t xml:space="preserve">) is larger than the number of trials per emotion class. When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N</m:t>
        </m:r>
      </m:oMath>
      <w:r>
        <w:t xml:space="preserve">, the standard sample covariance matrix: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b"/>
                        </m:rPr>
                        <m:t>μ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μ</m:t>
                  </m:r>
                </m:e>
                <m:sub>
                  <m:r>
                    <m:t>c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is mathematically</w:t>
      </w:r>
      <w:r>
        <w:t xml:space="preserve"> </w:t>
      </w:r>
      <w:r>
        <w:rPr>
          <w:b/>
          <w:bCs/>
        </w:rPr>
        <w:t xml:space="preserve">singular</w:t>
      </w:r>
      <w:r>
        <w:t xml:space="preserve"> </w:t>
      </w:r>
      <w:r>
        <w:t xml:space="preserve">(determinant = 0, non-invertible, and full of noisy eigenvalues). You cannot reliably sample from a singular covariance matrix.</w:t>
      </w:r>
    </w:p>
    <w:bookmarkEnd w:id="59"/>
    <w:bookmarkStart w:id="64" w:name="ledoit-wolf-shrinkage"/>
    <w:p>
      <w:pPr>
        <w:pStyle w:val="Heading3"/>
      </w:pPr>
      <w:r>
        <w:t xml:space="preserve">Ledoit-Wolf Shrinkage</w:t>
      </w:r>
    </w:p>
    <w:p>
      <w:pPr>
        <w:pStyle w:val="FirstParagraph"/>
      </w:pPr>
      <w:r>
        <w:t xml:space="preserve">To solve this, we applied the</w:t>
      </w:r>
      <w:r>
        <w:t xml:space="preserve"> </w:t>
      </w:r>
      <w:r>
        <w:rPr>
          <w:b/>
          <w:bCs/>
        </w:rPr>
        <w:t xml:space="preserve">Ledoit-Wolf shrinkage estimator</w:t>
      </w:r>
      <w:r>
        <w:t xml:space="preserve"> </w:t>
      </w:r>
      <w:r>
        <w:t xml:space="preserve">(</w:t>
      </w:r>
      <w:hyperlink w:anchor="ref-ledoit2004well">
        <w:r>
          <w:rPr>
            <w:rStyle w:val="Hyperlink"/>
          </w:rPr>
          <w:t xml:space="preserve">Ledoit and Wolf 2004</w:t>
        </w:r>
      </w:hyperlink>
      <w:r>
        <w:t xml:space="preserve">)</w:t>
      </w:r>
      <w:r>
        <w:t xml:space="preserve">. It pulls the noisy empirical covariance toward a well-conditioned identity matrix target: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Σ</m:t>
              </m:r>
            </m:e>
            <m:sub>
              <m:r>
                <m:rPr>
                  <m:nor/>
                  <m:sty m:val="p"/>
                </m:rPr>
                <m:t>LW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b>
            <m:e>
              <m:r>
                <m:rPr>
                  <m:sty m:val="b"/>
                </m:rPr>
                <m:t>S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+</m:t>
          </m:r>
          <m:sSup>
            <m:e>
              <m:r>
                <m:t>ρ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t>ν</m:t>
          </m:r>
          <m:r>
            <m:rPr>
              <m:sty m:val="b"/>
            </m:rPr>
            <m:t>I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Tr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b"/>
                  </m:rPr>
                  <m:t>S</m:t>
                </m:r>
              </m:e>
              <m:sub>
                <m:r>
                  <m:t>c</m:t>
                </m:r>
              </m:sub>
            </m:sSub>
          </m:e>
        </m:d>
      </m:oMath>
      <w:r>
        <w:t xml:space="preserve"> </w:t>
      </w:r>
      <w:r>
        <w:t xml:space="preserve">is the mean variance and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d>
          <m:dPr>
            <m:begChr m:val="["/>
            <m:sepChr m:val=""/>
            <m:endChr m:val="]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is the analytically optimal shrinkage intensity that minimizes Frobenius loss. This guarantees</w:t>
      </w:r>
      <w:r>
        <w:t xml:space="preserve"> </w:t>
      </w:r>
      <m:oMath>
        <m:sSub>
          <m:e>
            <m:r>
              <m:rPr>
                <m:sty m:val="b"/>
              </m:rPr>
              <m:t>Σ</m:t>
            </m:r>
          </m:e>
          <m:sub>
            <m:r>
              <m:rPr>
                <m:nor/>
                <m:sty m:val="p"/>
              </m:rPr>
              <m:t>LW</m:t>
            </m:r>
          </m:sub>
        </m:sSub>
      </m:oMath>
      <w:r>
        <w:t xml:space="preserve"> </w:t>
      </w:r>
      <w:r>
        <w:t xml:space="preserve">is strictly positive definite and invertible.</w:t>
      </w:r>
    </w:p>
    <w:p>
      <w:pPr>
        <w:pStyle w:val="SourceCode"/>
      </w:pP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imgGen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plt.imread(figuresDir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"04_generative_feature_fidelity.png"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ax.imshow(imgGen)</w:t>
      </w:r>
      <w:r>
        <w:br/>
      </w:r>
      <w:r>
        <w:rPr>
          <w:rStyle w:val="NormalTok"/>
        </w:rPr>
        <w:t xml:space="preserve">ax.axis(</w:t>
      </w:r>
      <w:r>
        <w:rPr>
          <w:rStyle w:val="StringTok"/>
        </w:rPr>
        <w:t xml:space="preserve">"off"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plt.tight_layout()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generative"/>
          <w:p>
            <w:pPr>
              <w:pStyle w:val="Compact"/>
              <w:jc w:val="center"/>
            </w:pPr>
            <w:r>
              <w:drawing>
                <wp:inline>
                  <wp:extent cx="5334000" cy="233418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generative-output-1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41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Synthetic vs. Real EEG Feature Distributions: (Left) Mean feature vector correlation and (Right) Pairwise covariance spectrum preservation.</w:t>
            </w:r>
          </w:p>
          <w:bookmarkEnd w:id="63"/>
        </w:tc>
      </w:tr>
    </w:tbl>
    <w:bookmarkEnd w:id="64"/>
    <w:bookmarkStart w:id="65" w:name="measuring-quality-via-fréchet-distance"/>
    <w:p>
      <w:pPr>
        <w:pStyle w:val="Heading3"/>
      </w:pPr>
      <w:r>
        <w:t xml:space="preserve">Measuring Quality via Fréchet Distance</w:t>
      </w:r>
    </w:p>
    <w:p>
      <w:pPr>
        <w:pStyle w:val="FirstParagraph"/>
      </w:pPr>
      <w:r>
        <w:t xml:space="preserve">To verify that the synthetic trials are realistic, we calculated the</w:t>
      </w:r>
      <w:r>
        <w:t xml:space="preserve"> </w:t>
      </w:r>
      <w:r>
        <w:rPr>
          <w:b/>
          <w:bCs/>
        </w:rPr>
        <w:t xml:space="preserve">Fréchet Distance</w:t>
      </w:r>
      <w:r>
        <w:t xml:space="preserve"> </w:t>
      </w:r>
      <w:r>
        <w:t xml:space="preserve">(the Wasserstein-2 distance between real and synthetic Gaussian distributions):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d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∥</m:t>
          </m:r>
          <m:sSub>
            <m:e>
              <m:r>
                <m:rPr>
                  <m:sty m:val="b"/>
                </m:rPr>
                <m:t>μ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μ</m:t>
              </m:r>
            </m:e>
            <m:sub>
              <m:r>
                <m:t>s</m:t>
              </m:r>
            </m:sub>
          </m:sSub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b"/>
                    </m:rPr>
                    <m:t>Σ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Σ</m:t>
                          </m:r>
                        </m:e>
                        <m:sub>
                          <m:r>
                            <m:t>r</m:t>
                          </m:r>
                        </m:sub>
                      </m:sSub>
                      <m:sSub>
                        <m:e>
                          <m:r>
                            <m:rPr>
                              <m:sty m:val="b"/>
                            </m:rPr>
                            <m:t>Σ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e>
                  </m:d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d>
        </m:oMath>
      </m:oMathPara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Sadness: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116.88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Anger: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401.60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Calmness: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1263.00</m:t>
        </m:r>
      </m:oMath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Joy: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2405.31</m:t>
        </m:r>
      </m:oMath>
    </w:p>
    <w:bookmarkEnd w:id="65"/>
    <w:bookmarkEnd w:id="66"/>
    <w:bookmarkStart w:id="70" w:name="part-5-discussion-future-work"/>
    <w:p>
      <w:pPr>
        <w:pStyle w:val="Heading2"/>
      </w:pPr>
      <w:r>
        <w:t xml:space="preserve">Part 5: Discussion &amp; Future Work</w:t>
      </w:r>
    </w:p>
    <w:p>
      <w:pPr>
        <w:pStyle w:val="FirstParagraph"/>
      </w:pPr>
      <w:r>
        <w:t xml:space="preserve">These findings suggest several promising directions for geometric deep learning and computational neuroscience:</w:t>
      </w:r>
    </w:p>
    <w:bookmarkStart w:id="67" w:name="X27d288d1025773492bc42fae2fa21a85a5c7570"/>
    <w:p>
      <w:pPr>
        <w:pStyle w:val="Heading3"/>
      </w:pPr>
      <w:r>
        <w:t xml:space="preserve">1. Topological Data Analysis (TDA) on Multi-Channel Time-Series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Persistent Homology of EEG Epochs:</w:t>
      </w:r>
      <w:r>
        <w:t xml:space="preserve"> </w:t>
      </w:r>
      <w:r>
        <w:t xml:space="preserve">Instead of just computing static power bands, we can build sliding-window Vietoris-Rips complexes directly on the raw 14-channel time-series to track 0D and 1D topological persistence barcodes (Betti numbers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 as emotions transition.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Topological Loss Functions:</w:t>
      </w:r>
      <w:r>
        <w:t xml:space="preserve"> </w:t>
      </w:r>
      <w:r>
        <w:t xml:space="preserve">Adding a persistent homology penalty to the neural network loss function could constrain latent representations to preserve global loop and void structures.</w:t>
      </w:r>
    </w:p>
    <w:bookmarkEnd w:id="67"/>
    <w:bookmarkStart w:id="68" w:name="Xb8cf7ec47c2fe4875c73b64af1623aef3a87539"/>
    <w:p>
      <w:pPr>
        <w:pStyle w:val="Heading3"/>
      </w:pPr>
      <w:r>
        <w:t xml:space="preserve">2. Geometric Deep Learning on Covariance Manifolds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Riemannian Manifold Neural Networks:</w:t>
      </w:r>
      <w:r>
        <w:t xml:space="preserve"> </w:t>
      </w:r>
      <w:r>
        <w:t xml:space="preserve">EEG spatial covariance matrices</w:t>
      </w:r>
      <w:r>
        <w:t xml:space="preserve"> </w:t>
      </w:r>
      <m:oMath>
        <m:r>
          <m:rPr>
            <m:sty m:val="b"/>
          </m:rP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T</m:t>
            </m:r>
          </m:den>
        </m:f>
        <m:r>
          <m:rPr>
            <m:sty m:val="b"/>
          </m:rPr>
          <m:t>X</m:t>
        </m:r>
        <m:sSup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live on the manifold of Symmetric Positive-Definite (SPD) matrices</w:t>
      </w:r>
      <w:r>
        <w:t xml:space="preserve"> </w:t>
      </w:r>
      <m:oMath>
        <m:sSubSup>
          <m:e>
            <m:r>
              <m:rPr>
                <m:sty m:val="p"/>
                <m:scr m:val="script"/>
              </m:rPr>
              <m:t>S</m:t>
            </m:r>
          </m:e>
          <m:sub>
            <m:r>
              <m:rPr>
                <m:sty m:val="p"/>
              </m:rPr>
              <m:t>+</m:t>
            </m:r>
            <m:r>
              <m:rPr>
                <m:sty m:val="p"/>
              </m:rPr>
              <m:t>+</m:t>
            </m:r>
          </m:sub>
          <m:sup>
            <m:r>
              <m:t>p</m:t>
            </m:r>
          </m:sup>
        </m:sSubSup>
      </m:oMath>
      <w:r>
        <w:t xml:space="preserve">. Rather than flattening matrices into Euclidean vectors, we can operate directly in Riemannian geometry using the Log-Euclidean Metric or Affine-Invariant Riemannian Metric with SPDNet architectures.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Graph Neural Networks (GNNs):</w:t>
      </w:r>
      <w:r>
        <w:t xml:space="preserve"> </w:t>
      </w:r>
      <w:r>
        <w:t xml:space="preserve">Treating electrodes as nodes in a dynamic graph where edge weights represent time-varying coherence or phase-locking values across channels.</w:t>
      </w:r>
    </w:p>
    <w:bookmarkEnd w:id="68"/>
    <w:bookmarkStart w:id="69" w:name="continuous-trajectory-inference"/>
    <w:p>
      <w:pPr>
        <w:pStyle w:val="Heading3"/>
      </w:pPr>
      <w:r>
        <w:t xml:space="preserve">3. Continuous Trajectory Inference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PHATE &amp; Diffusion Trajectories:</w:t>
      </w:r>
      <w:r>
        <w:t xml:space="preserve"> </w:t>
      </w:r>
      <w:r>
        <w:t xml:space="preserve">Applying tools like PHATE</w:t>
      </w:r>
      <w:r>
        <w:t xml:space="preserve"> </w:t>
      </w:r>
      <w:r>
        <w:t xml:space="preserve">(</w:t>
      </w:r>
      <w:hyperlink w:anchor="ref-moon2019visualizing">
        <w:r>
          <w:rPr>
            <w:rStyle w:val="Hyperlink"/>
          </w:rPr>
          <w:t xml:space="preserve">Moon et al. 2019</w:t>
        </w:r>
      </w:hyperlink>
      <w:r>
        <w:t xml:space="preserve">)</w:t>
      </w:r>
      <w:r>
        <w:t xml:space="preserve"> </w:t>
      </w:r>
      <w:r>
        <w:t xml:space="preserve">can help trace continuous trajectories between emotions, identifying the exact branch points where mixed affective states (such as bittersweet or nostalgic feelings) bifurcate into distinct categories.</w:t>
      </w:r>
    </w:p>
    <w:bookmarkEnd w:id="69"/>
    <w:bookmarkEnd w:id="70"/>
    <w:bookmarkStart w:id="94" w:name="references"/>
    <w:p>
      <w:pPr>
        <w:pStyle w:val="Heading2"/>
      </w:pPr>
      <w:r>
        <w:t xml:space="preserve">References</w:t>
      </w:r>
    </w:p>
    <w:bookmarkStart w:id="93" w:name="refs"/>
    <w:bookmarkStart w:id="72" w:name="ref-belkin2003laplacian"/>
    <w:p>
      <w:pPr>
        <w:pStyle w:val="Bibliography"/>
      </w:pPr>
      <w:r>
        <w:t xml:space="preserve">Belkin, Mikhail, and Partha Niyogi. 2003.</w:t>
      </w:r>
      <w:r>
        <w:t xml:space="preserve"> </w:t>
      </w:r>
      <w:r>
        <w:t xml:space="preserve">“Laplacian Eigenmaps for Dimensionality Reduction and Data Representation.”</w:t>
      </w:r>
      <w:r>
        <w:t xml:space="preserve"> </w:t>
      </w:r>
      <w:r>
        <w:rPr>
          <w:i/>
          <w:iCs/>
        </w:rPr>
        <w:t xml:space="preserve">Neural Computation</w:t>
      </w:r>
      <w:r>
        <w:t xml:space="preserve"> </w:t>
      </w:r>
      <w:r>
        <w:t xml:space="preserve">15 (6): 1373–96.</w:t>
      </w:r>
      <w:r>
        <w:t xml:space="preserve"> </w:t>
      </w:r>
      <w:hyperlink r:id="rId71">
        <w:r>
          <w:rPr>
            <w:rStyle w:val="Hyperlink"/>
          </w:rPr>
          <w:t xml:space="preserve">https://doi.org/10.1162/089976603321780317</w:t>
        </w:r>
      </w:hyperlink>
      <w:r>
        <w:t xml:space="preserve">.</w:t>
      </w:r>
    </w:p>
    <w:bookmarkEnd w:id="72"/>
    <w:bookmarkStart w:id="74" w:name="ref-coan2004frontal"/>
    <w:p>
      <w:pPr>
        <w:pStyle w:val="Bibliography"/>
      </w:pPr>
      <w:r>
        <w:t xml:space="preserve">Coan, James A, and John JB Allen. 2004.</w:t>
      </w:r>
      <w:r>
        <w:t xml:space="preserve"> </w:t>
      </w:r>
      <w:r>
        <w:t xml:space="preserve">“Frontal EEG Asymmetry as a Moderator and Mediator of Emotion.”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 </w:t>
      </w:r>
      <w:r>
        <w:t xml:space="preserve">67 (1-2): 7–49.</w:t>
      </w:r>
      <w:r>
        <w:t xml:space="preserve"> </w:t>
      </w:r>
      <w:hyperlink r:id="rId73">
        <w:r>
          <w:rPr>
            <w:rStyle w:val="Hyperlink"/>
          </w:rPr>
          <w:t xml:space="preserve">https://doi.org/10.1016/j.biopsycho.2004.03.002</w:t>
        </w:r>
      </w:hyperlink>
      <w:r>
        <w:t xml:space="preserve">.</w:t>
      </w:r>
    </w:p>
    <w:bookmarkEnd w:id="74"/>
    <w:bookmarkStart w:id="76" w:name="ref-cowen2017twenty"/>
    <w:p>
      <w:pPr>
        <w:pStyle w:val="Bibliography"/>
      </w:pPr>
      <w:r>
        <w:t xml:space="preserve">Cowen, Alan S, and Dacher Keltner. 2017.</w:t>
      </w:r>
      <w:r>
        <w:t xml:space="preserve"> </w:t>
      </w:r>
      <w:r>
        <w:t xml:space="preserve">“Self-Report Captures 27 Distinct Categories of Emotion Bridged by Continuous Gradients.”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114 (38): E7900–7909.</w:t>
      </w:r>
      <w:r>
        <w:t xml:space="preserve"> </w:t>
      </w:r>
      <w:hyperlink r:id="rId75">
        <w:r>
          <w:rPr>
            <w:rStyle w:val="Hyperlink"/>
          </w:rPr>
          <w:t xml:space="preserve">https://doi.org/10.1073/pnas.1702247114</w:t>
        </w:r>
      </w:hyperlink>
      <w:r>
        <w:t xml:space="preserve">.</w:t>
      </w:r>
    </w:p>
    <w:bookmarkEnd w:id="76"/>
    <w:bookmarkStart w:id="78" w:name="ref-davidson1992anterior"/>
    <w:p>
      <w:pPr>
        <w:pStyle w:val="Bibliography"/>
      </w:pPr>
      <w:r>
        <w:t xml:space="preserve">Davidson, Richard J. 1992.</w:t>
      </w:r>
      <w:r>
        <w:t xml:space="preserve"> </w:t>
      </w:r>
      <w:r>
        <w:t xml:space="preserve">“Anterior Cerebral Asymmetry and the Nature of Emotion.”</w:t>
      </w:r>
      <w:r>
        <w:t xml:space="preserve"> </w:t>
      </w:r>
      <w:r>
        <w:rPr>
          <w:i/>
          <w:iCs/>
        </w:rPr>
        <w:t xml:space="preserve">Brain and Cognition</w:t>
      </w:r>
      <w:r>
        <w:t xml:space="preserve"> </w:t>
      </w:r>
      <w:r>
        <w:t xml:space="preserve">20 (1): 125–51.</w:t>
      </w:r>
      <w:r>
        <w:t xml:space="preserve"> </w:t>
      </w:r>
      <w:hyperlink r:id="rId77">
        <w:r>
          <w:rPr>
            <w:rStyle w:val="Hyperlink"/>
          </w:rPr>
          <w:t xml:space="preserve">https://doi.org/10.1016/0278-2626(92)90014-M</w:t>
        </w:r>
      </w:hyperlink>
      <w:r>
        <w:t xml:space="preserve">.</w:t>
      </w:r>
    </w:p>
    <w:bookmarkEnd w:id="78"/>
    <w:bookmarkStart w:id="80" w:name="ref-facco2017estimating"/>
    <w:p>
      <w:pPr>
        <w:pStyle w:val="Bibliography"/>
      </w:pPr>
      <w:r>
        <w:t xml:space="preserve">Facco, Elena, Maria d’Errico, Alex Rodriguez, and Alessandro Laio. 2017.</w:t>
      </w:r>
      <w:r>
        <w:t xml:space="preserve"> </w:t>
      </w:r>
      <w:r>
        <w:t xml:space="preserve">“Estimating the Intrinsic Dimension of Datasets by a Minimal Neighborhood Information.”</w:t>
      </w:r>
      <w:r>
        <w:t xml:space="preserve"> </w:t>
      </w:r>
      <w:r>
        <w:rPr>
          <w:i/>
          <w:iCs/>
        </w:rPr>
        <w:t xml:space="preserve">Scientific Reports</w:t>
      </w:r>
      <w:r>
        <w:t xml:space="preserve"> </w:t>
      </w:r>
      <w:r>
        <w:t xml:space="preserve">7 (1): 12140.</w:t>
      </w:r>
      <w:r>
        <w:t xml:space="preserve"> </w:t>
      </w:r>
      <w:hyperlink r:id="rId79">
        <w:r>
          <w:rPr>
            <w:rStyle w:val="Hyperlink"/>
          </w:rPr>
          <w:t xml:space="preserve">https://doi.org/10.1038/s41598-017-11873-y</w:t>
        </w:r>
      </w:hyperlink>
      <w:r>
        <w:t xml:space="preserve">.</w:t>
      </w:r>
    </w:p>
    <w:bookmarkEnd w:id="80"/>
    <w:bookmarkStart w:id="82" w:name="ref-harmonjones2010role"/>
    <w:p>
      <w:pPr>
        <w:pStyle w:val="Bibliography"/>
      </w:pPr>
      <w:r>
        <w:t xml:space="preserve">Harmon-Jones, Eddie, Philip A Gable, and Cindy K Peterson. 2010.</w:t>
      </w:r>
      <w:r>
        <w:t xml:space="preserve"> </w:t>
      </w:r>
      <w:r>
        <w:t xml:space="preserve">“The Role of Asymmetric Frontal Cortical Activity in Emotion-Related Phenomena: A Review and Update.”</w:t>
      </w:r>
      <w:r>
        <w:t xml:space="preserve"> </w:t>
      </w:r>
      <w:r>
        <w:rPr>
          <w:i/>
          <w:iCs/>
        </w:rPr>
        <w:t xml:space="preserve">Biological Psychology</w:t>
      </w:r>
      <w:r>
        <w:t xml:space="preserve"> </w:t>
      </w:r>
      <w:r>
        <w:t xml:space="preserve">84 (3): 451–62.</w:t>
      </w:r>
      <w:r>
        <w:t xml:space="preserve"> </w:t>
      </w:r>
      <w:hyperlink r:id="rId81">
        <w:r>
          <w:rPr>
            <w:rStyle w:val="Hyperlink"/>
          </w:rPr>
          <w:t xml:space="preserve">https://doi.org/10.1016/j.biopsycho.2009.08.010</w:t>
        </w:r>
      </w:hyperlink>
      <w:r>
        <w:t xml:space="preserve">.</w:t>
      </w:r>
    </w:p>
    <w:bookmarkEnd w:id="82"/>
    <w:bookmarkStart w:id="84" w:name="ref-kriegeskorte2008representational"/>
    <w:p>
      <w:pPr>
        <w:pStyle w:val="Bibliography"/>
      </w:pPr>
      <w:r>
        <w:t xml:space="preserve">Kriegeskorte, Nikolaus, Marieke Mur, and Peter A Bandettini. 2008.</w:t>
      </w:r>
      <w:r>
        <w:t xml:space="preserve"> </w:t>
      </w:r>
      <w:r>
        <w:t xml:space="preserve">“Representational Similarity Analysis–Connecting the Branches of Systems Neuroscience.”</w:t>
      </w:r>
      <w:r>
        <w:t xml:space="preserve"> </w:t>
      </w:r>
      <w:r>
        <w:rPr>
          <w:i/>
          <w:iCs/>
        </w:rPr>
        <w:t xml:space="preserve">Frontiers in Systems Neuroscience</w:t>
      </w:r>
      <w:r>
        <w:t xml:space="preserve"> </w:t>
      </w:r>
      <w:r>
        <w:t xml:space="preserve">2: 4.</w:t>
      </w:r>
      <w:r>
        <w:t xml:space="preserve"> </w:t>
      </w:r>
      <w:hyperlink r:id="rId83">
        <w:r>
          <w:rPr>
            <w:rStyle w:val="Hyperlink"/>
          </w:rPr>
          <w:t xml:space="preserve">https://doi.org/10.3389/neuro.06.004.2008</w:t>
        </w:r>
      </w:hyperlink>
      <w:r>
        <w:t xml:space="preserve">.</w:t>
      </w:r>
    </w:p>
    <w:bookmarkEnd w:id="84"/>
    <w:bookmarkStart w:id="86" w:name="ref-ledoit2004well"/>
    <w:p>
      <w:pPr>
        <w:pStyle w:val="Bibliography"/>
      </w:pPr>
      <w:r>
        <w:t xml:space="preserve">Ledoit, Olivier, and Michael Wolf. 2004.</w:t>
      </w:r>
      <w:r>
        <w:t xml:space="preserve"> </w:t>
      </w:r>
      <w:r>
        <w:t xml:space="preserve">“A Well-Conditioned Estimator for Large-Dimensional Covariance Matrices.”</w:t>
      </w:r>
      <w:r>
        <w:t xml:space="preserve"> </w:t>
      </w:r>
      <w:r>
        <w:rPr>
          <w:i/>
          <w:iCs/>
        </w:rPr>
        <w:t xml:space="preserve">Journal of Multivariate Analysis</w:t>
      </w:r>
      <w:r>
        <w:t xml:space="preserve"> </w:t>
      </w:r>
      <w:r>
        <w:t xml:space="preserve">88 (2): 365–411.</w:t>
      </w:r>
      <w:r>
        <w:t xml:space="preserve"> </w:t>
      </w:r>
      <w:hyperlink r:id="rId85">
        <w:r>
          <w:rPr>
            <w:rStyle w:val="Hyperlink"/>
          </w:rPr>
          <w:t xml:space="preserve">https://doi.org/10.1016/S0047-259X(03)00096-4</w:t>
        </w:r>
      </w:hyperlink>
      <w:r>
        <w:t xml:space="preserve">.</w:t>
      </w:r>
    </w:p>
    <w:bookmarkEnd w:id="86"/>
    <w:bookmarkStart w:id="88" w:name="ref-moon2019visualizing"/>
    <w:p>
      <w:pPr>
        <w:pStyle w:val="Bibliography"/>
      </w:pPr>
      <w:r>
        <w:t xml:space="preserve">Moon, Kevin R, David van Dijk, Zheng Wang, Scott Gigante, Daniel B Burkhardt, William S Chen, Kristina Yim, et al. 2019.</w:t>
      </w:r>
      <w:r>
        <w:t xml:space="preserve"> </w:t>
      </w:r>
      <w:r>
        <w:t xml:space="preserve">“Visualizing Structure and Transitions in High-Dimensional Biological Data.”</w:t>
      </w:r>
      <w:r>
        <w:t xml:space="preserve"> </w:t>
      </w:r>
      <w:r>
        <w:rPr>
          <w:i/>
          <w:iCs/>
        </w:rPr>
        <w:t xml:space="preserve">Nature Biotechnology</w:t>
      </w:r>
      <w:r>
        <w:t xml:space="preserve"> </w:t>
      </w:r>
      <w:r>
        <w:t xml:space="preserve">37 (12): 1482–92.</w:t>
      </w:r>
      <w:r>
        <w:t xml:space="preserve"> </w:t>
      </w:r>
      <w:hyperlink r:id="rId87">
        <w:r>
          <w:rPr>
            <w:rStyle w:val="Hyperlink"/>
          </w:rPr>
          <w:t xml:space="preserve">https://doi.org/10.1038/s41587-019-0336-3</w:t>
        </w:r>
      </w:hyperlink>
      <w:r>
        <w:t xml:space="preserve">.</w:t>
      </w:r>
    </w:p>
    <w:bookmarkEnd w:id="88"/>
    <w:bookmarkStart w:id="90" w:name="ref-phuong2025eegemotions"/>
    <w:p>
      <w:pPr>
        <w:pStyle w:val="Bibliography"/>
      </w:pPr>
      <w:r>
        <w:t xml:space="preserve">Phuong, Hoang-Tung, Eun-Taek Im, Min-Seok Oh, and Gwang-Yong Gim. 2025.</w:t>
      </w:r>
      <w:r>
        <w:t xml:space="preserve"> </w:t>
      </w:r>
      <w:r>
        <w:t xml:space="preserve">“EEGEmotions-27: A Large-Scale EEG Dataset Annotated with 27 Fine-Grained Emotion Labels.”</w:t>
      </w:r>
      <w:r>
        <w:t xml:space="preserve"> </w:t>
      </w:r>
      <w:r>
        <w:rPr>
          <w:i/>
          <w:iCs/>
        </w:rPr>
        <w:t xml:space="preserve">IEEE Access</w:t>
      </w:r>
      <w:r>
        <w:t xml:space="preserve"> </w:t>
      </w:r>
      <w:r>
        <w:t xml:space="preserve">13: 176915–32.</w:t>
      </w:r>
      <w:r>
        <w:t xml:space="preserve"> </w:t>
      </w:r>
      <w:hyperlink r:id="rId89">
        <w:r>
          <w:rPr>
            <w:rStyle w:val="Hyperlink"/>
          </w:rPr>
          <w:t xml:space="preserve">https://doi.org/10.1109/ACCESS.2025.3620677</w:t>
        </w:r>
      </w:hyperlink>
      <w:r>
        <w:t xml:space="preserve">.</w:t>
      </w:r>
    </w:p>
    <w:bookmarkEnd w:id="90"/>
    <w:bookmarkStart w:id="92" w:name="ref-russell1980circumplex"/>
    <w:p>
      <w:pPr>
        <w:pStyle w:val="Bibliography"/>
      </w:pPr>
      <w:r>
        <w:t xml:space="preserve">Russell, James A. 1980.</w:t>
      </w:r>
      <w:r>
        <w:t xml:space="preserve"> </w:t>
      </w:r>
      <w:r>
        <w:t xml:space="preserve">“A Circumplex Model of Affect.”</w:t>
      </w:r>
      <w:r>
        <w:t xml:space="preserve"> </w:t>
      </w:r>
      <w:r>
        <w:rPr>
          <w:i/>
          <w:iCs/>
        </w:rPr>
        <w:t xml:space="preserve">Journal of Personality and Social Psychology</w:t>
      </w:r>
      <w:r>
        <w:t xml:space="preserve"> </w:t>
      </w:r>
      <w:r>
        <w:t xml:space="preserve">39 (6): 1161–78.</w:t>
      </w:r>
      <w:r>
        <w:t xml:space="preserve"> </w:t>
      </w:r>
      <w:hyperlink r:id="rId91">
        <w:r>
          <w:rPr>
            <w:rStyle w:val="Hyperlink"/>
          </w:rPr>
          <w:t xml:space="preserve">https://doi.org/10.1037/h0077714</w:t>
        </w:r>
      </w:hyperlink>
      <w:r>
        <w:t xml:space="preserve">.</w:t>
      </w:r>
    </w:p>
    <w:bookmarkEnd w:id="92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8" Target="media/rId48.png" /><Relationship Type="http://schemas.openxmlformats.org/officeDocument/2006/relationships/image" Id="rId27" Target="media/rId27.png" /><Relationship Type="http://schemas.openxmlformats.org/officeDocument/2006/relationships/image" Id="rId60" Target="media/rId60.png" /><Relationship Type="http://schemas.openxmlformats.org/officeDocument/2006/relationships/image" Id="rId53" Target="media/rId53.png" /><Relationship Type="http://schemas.openxmlformats.org/officeDocument/2006/relationships/image" Id="rId33" Target="media/rId33.png" /><Relationship Type="http://schemas.openxmlformats.org/officeDocument/2006/relationships/image" Id="rId22" Target="media/rId22.png" /><Relationship Type="http://schemas.openxmlformats.org/officeDocument/2006/relationships/hyperlink" Id="rId77" Target="https://doi.org/10.1016/0278-2626(92)90014-M" TargetMode="External" /><Relationship Type="http://schemas.openxmlformats.org/officeDocument/2006/relationships/hyperlink" Id="rId85" Target="https://doi.org/10.1016/S0047-259X(03)00096-4" TargetMode="External" /><Relationship Type="http://schemas.openxmlformats.org/officeDocument/2006/relationships/hyperlink" Id="rId73" Target="https://doi.org/10.1016/j.biopsycho.2004.03.002" TargetMode="External" /><Relationship Type="http://schemas.openxmlformats.org/officeDocument/2006/relationships/hyperlink" Id="rId81" Target="https://doi.org/10.1016/j.biopsycho.2009.08.010" TargetMode="External" /><Relationship Type="http://schemas.openxmlformats.org/officeDocument/2006/relationships/hyperlink" Id="rId91" Target="https://doi.org/10.1037/h0077714" TargetMode="External" /><Relationship Type="http://schemas.openxmlformats.org/officeDocument/2006/relationships/hyperlink" Id="rId87" Target="https://doi.org/10.1038/s41587-019-0336-3" TargetMode="External" /><Relationship Type="http://schemas.openxmlformats.org/officeDocument/2006/relationships/hyperlink" Id="rId79" Target="https://doi.org/10.1038/s41598-017-11873-y" TargetMode="External" /><Relationship Type="http://schemas.openxmlformats.org/officeDocument/2006/relationships/hyperlink" Id="rId75" Target="https://doi.org/10.1073/pnas.1702247114" TargetMode="External" /><Relationship Type="http://schemas.openxmlformats.org/officeDocument/2006/relationships/hyperlink" Id="rId89" Target="https://doi.org/10.1109/ACCESS.2025.3620677" TargetMode="External" /><Relationship Type="http://schemas.openxmlformats.org/officeDocument/2006/relationships/hyperlink" Id="rId71" Target="https://doi.org/10.1162/089976603321780317" TargetMode="External" /><Relationship Type="http://schemas.openxmlformats.org/officeDocument/2006/relationships/hyperlink" Id="rId83" Target="https://doi.org/10.3389/neuro.06.004.200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https://doi.org/10.1016/0278-2626(92)90014-M" TargetMode="External" /><Relationship Type="http://schemas.openxmlformats.org/officeDocument/2006/relationships/hyperlink" Id="rId85" Target="https://doi.org/10.1016/S0047-259X(03)00096-4" TargetMode="External" /><Relationship Type="http://schemas.openxmlformats.org/officeDocument/2006/relationships/hyperlink" Id="rId73" Target="https://doi.org/10.1016/j.biopsycho.2004.03.002" TargetMode="External" /><Relationship Type="http://schemas.openxmlformats.org/officeDocument/2006/relationships/hyperlink" Id="rId81" Target="https://doi.org/10.1016/j.biopsycho.2009.08.010" TargetMode="External" /><Relationship Type="http://schemas.openxmlformats.org/officeDocument/2006/relationships/hyperlink" Id="rId91" Target="https://doi.org/10.1037/h0077714" TargetMode="External" /><Relationship Type="http://schemas.openxmlformats.org/officeDocument/2006/relationships/hyperlink" Id="rId87" Target="https://doi.org/10.1038/s41587-019-0336-3" TargetMode="External" /><Relationship Type="http://schemas.openxmlformats.org/officeDocument/2006/relationships/hyperlink" Id="rId79" Target="https://doi.org/10.1038/s41598-017-11873-y" TargetMode="External" /><Relationship Type="http://schemas.openxmlformats.org/officeDocument/2006/relationships/hyperlink" Id="rId75" Target="https://doi.org/10.1073/pnas.1702247114" TargetMode="External" /><Relationship Type="http://schemas.openxmlformats.org/officeDocument/2006/relationships/hyperlink" Id="rId89" Target="https://doi.org/10.1109/ACCESS.2025.3620677" TargetMode="External" /><Relationship Type="http://schemas.openxmlformats.org/officeDocument/2006/relationships/hyperlink" Id="rId71" Target="https://doi.org/10.1162/089976603321780317" TargetMode="External" /><Relationship Type="http://schemas.openxmlformats.org/officeDocument/2006/relationships/hyperlink" Id="rId83" Target="https://doi.org/10.3389/neuro.06.004.200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Geometry of the Affective Brain: Manifold Structure, Representational Similarity, and Subject-Independent Decoding of 27 Fine-Grained Emotions from Scalp EEG</dc:title>
  <dc:creator>Dhruv Kithany</dc:creator>
  <cp:keywords>eeg, affective_neuroscience, manifold_learning, topological_data_analysis, geometric_deep_learning, cowen_27_emotions, subject_independent_decoding, ledoit_wolf_generative_model</cp:keywords>
  <dcterms:created xsi:type="dcterms:W3CDTF">2026-09-21T21:25:07Z</dcterms:created>
  <dcterms:modified xsi:type="dcterms:W3CDTF">2026-09-21T21:25:07Z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index_refs.bib</vt:lpwstr>
  </property>
  <property fmtid="{D5CDD505-2E9C-101B-9397-08002B2CF9AE}" pid="5" name="by-author">
    <vt:lpwstr/>
  </property>
  <property fmtid="{D5CDD505-2E9C-101B-9397-08002B2CF9AE}" pid="6" name="citecolor">
    <vt:lpwstr>blue</vt:lpwstr>
  </property>
  <property fmtid="{D5CDD505-2E9C-101B-9397-08002B2CF9AE}" pid="7" name="colorlinks">
    <vt:lpwstr>True</vt:lpwstr>
  </property>
  <property fmtid="{D5CDD505-2E9C-101B-9397-08002B2CF9AE}" pid="8" name="date">
    <vt:lpwstr>2026-09-07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nk-citations">
    <vt:lpwstr>True</vt:lpwstr>
  </property>
  <property fmtid="{D5CDD505-2E9C-101B-9397-08002B2CF9AE}" pid="15" name="linkcolor">
    <vt:lpwstr>blue</vt:lpwstr>
  </property>
  <property fmtid="{D5CDD505-2E9C-101B-9397-08002B2CF9AE}" pid="16" name="status">
    <vt:lpwstr>draft</vt:lpwstr>
  </property>
  <property fmtid="{D5CDD505-2E9C-101B-9397-08002B2CF9AE}" pid="17" name="toc-title">
    <vt:lpwstr>Table of contents</vt:lpwstr>
  </property>
  <property fmtid="{D5CDD505-2E9C-101B-9397-08002B2CF9AE}" pid="18" name="urlcolor">
    <vt:lpwstr>blue</vt:lpwstr>
  </property>
</Properties>
</file>