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jc w:val="center"/>
      </w:pPr>
      <w:r>
        <w:rPr>
          <w:rFonts w:ascii="Segoe UI" w:hAnsi="Segoe UI"/>
          <w:b/>
          <w:color w:val="0891B2"/>
          <w:sz w:val="48"/>
        </w:rPr>
        <w:t>AETHERIA — PGSharp Digital Storefront</w:t>
      </w:r>
    </w:p>
    <w:p>
      <w:pPr>
        <w:spacing w:after="320"/>
        <w:jc w:val="center"/>
      </w:pPr>
      <w:r>
        <w:rPr>
          <w:rFonts w:ascii="Segoe UI" w:hAnsi="Segoe UI"/>
          <w:color w:val="64748B"/>
          <w:sz w:val="24"/>
        </w:rPr>
        <w:t>Comprehensive Technical, Architectural &amp; Engineering Production Manual</w:t>
      </w:r>
    </w:p>
    <w:tbl>
      <w:tblPr>
        <w:tblW w:type="auto" w:w="0"/>
        <w:jc w:val="center"/>
        <w:tblLook w:firstColumn="1" w:firstRow="1" w:lastColumn="0" w:lastRow="0" w:noHBand="0" w:noVBand="1" w:val="04A0"/>
      </w:tblPr>
      <w:tblGrid>
        <w:gridCol w:w="2520"/>
        <w:gridCol w:w="2520"/>
        <w:gridCol w:w="2520"/>
        <w:gridCol w:w="2520"/>
      </w:tblGrid>
      <w:tr>
        <w:tc>
          <w:tcPr>
            <w:tcW w:type="dxa" w:w="2520"/>
            <w:shd w:fill="F1F5F9"/>
            <w:tcMar>
              <w:top w:w="80" w:type="dxa"/>
              <w:bottom w:w="80" w:type="dxa"/>
              <w:left w:w="120" w:type="dxa"/>
              <w:right w:w="120" w:type="dxa"/>
            </w:tcMar>
          </w:tcPr>
          <w:p>
            <w:pPr>
              <w:jc w:val="center"/>
            </w:pPr>
            <w:r>
              <w:rPr>
                <w:b/>
                <w:color w:val="475569"/>
                <w:sz w:val="17"/>
              </w:rPr>
              <w:t xml:space="preserve">Version: </w:t>
            </w:r>
            <w:r>
              <w:rPr>
                <w:color w:val="0F172A"/>
                <w:sz w:val="17"/>
              </w:rPr>
              <w:t>v2.5.0 Production</w:t>
            </w:r>
          </w:p>
        </w:tc>
        <w:tc>
          <w:tcPr>
            <w:tcW w:type="dxa" w:w="2520"/>
            <w:shd w:fill="F1F5F9"/>
            <w:tcMar>
              <w:top w:w="80" w:type="dxa"/>
              <w:bottom w:w="80" w:type="dxa"/>
              <w:left w:w="120" w:type="dxa"/>
              <w:right w:w="120" w:type="dxa"/>
            </w:tcMar>
          </w:tcPr>
          <w:p>
            <w:pPr>
              <w:jc w:val="center"/>
            </w:pPr>
            <w:r>
              <w:rPr>
                <w:b/>
                <w:color w:val="475569"/>
                <w:sz w:val="17"/>
              </w:rPr>
              <w:t xml:space="preserve">Stack: </w:t>
            </w:r>
            <w:r>
              <w:rPr>
                <w:color w:val="0F172A"/>
                <w:sz w:val="17"/>
              </w:rPr>
              <w:t>Next.js 14 / TypeScript / GSAP</w:t>
            </w:r>
          </w:p>
        </w:tc>
        <w:tc>
          <w:tcPr>
            <w:tcW w:type="dxa" w:w="2520"/>
            <w:shd w:fill="F1F5F9"/>
            <w:tcMar>
              <w:top w:w="80" w:type="dxa"/>
              <w:bottom w:w="80" w:type="dxa"/>
              <w:left w:w="120" w:type="dxa"/>
              <w:right w:w="120" w:type="dxa"/>
            </w:tcMar>
          </w:tcPr>
          <w:p>
            <w:pPr>
              <w:jc w:val="center"/>
            </w:pPr>
            <w:r>
              <w:rPr>
                <w:b/>
                <w:color w:val="475569"/>
                <w:sz w:val="17"/>
              </w:rPr>
              <w:t xml:space="preserve">Payment Rails: </w:t>
            </w:r>
            <w:r>
              <w:rPr>
                <w:color w:val="0F172A"/>
                <w:sz w:val="17"/>
              </w:rPr>
              <w:t>Direct UPI (Paise) + PayPal</w:t>
            </w:r>
          </w:p>
        </w:tc>
        <w:tc>
          <w:tcPr>
            <w:tcW w:type="dxa" w:w="2520"/>
            <w:shd w:fill="F1F5F9"/>
            <w:tcMar>
              <w:top w:w="80" w:type="dxa"/>
              <w:bottom w:w="80" w:type="dxa"/>
              <w:left w:w="120" w:type="dxa"/>
              <w:right w:w="120" w:type="dxa"/>
            </w:tcMar>
          </w:tcPr>
          <w:p>
            <w:pPr>
              <w:jc w:val="center"/>
            </w:pPr>
            <w:r>
              <w:rPr>
                <w:b/>
                <w:color w:val="475569"/>
                <w:sz w:val="17"/>
              </w:rPr>
              <w:t xml:space="preserve">Status: </w:t>
            </w:r>
            <w:r>
              <w:rPr>
                <w:color w:val="0F172A"/>
                <w:sz w:val="17"/>
              </w:rPr>
              <w:t>100% Operational / Verified</w:t>
            </w:r>
          </w:p>
        </w:tc>
      </w:tr>
    </w:tbl>
    <w:p>
      <w:pPr>
        <w:spacing w:after="200"/>
      </w:pPr>
    </w:p>
    <w:p>
      <w:pPr>
        <w:spacing w:before="360" w:after="120"/>
      </w:pPr>
      <w:r>
        <w:rPr>
          <w:rFonts w:ascii="Segoe UI" w:hAnsi="Segoe UI"/>
          <w:b/>
          <w:color w:val="0F172A"/>
          <w:sz w:val="30"/>
        </w:rPr>
        <w:t>1. Executive Summary &amp; System Overview</w:t>
      </w:r>
    </w:p>
    <w:p>
      <w:pPr>
        <w:spacing w:before="40" w:after="80" w:line="276" w:lineRule="auto"/>
      </w:pPr>
      <w:r>
        <w:rPr>
          <w:color w:val="334155"/>
        </w:rPr>
        <w:t>AETHERIA is a mission-critical, high-performance digital storefront engineered exclusively for PGSharp Standard Edition key distribution. It unites luxury cyberpunk aesthetics (Deep Onyx void, Cyber Cyan and Auroral Emerald accoutrements, frosted Obsidian Glassmorphism) with an interactive 550vh image-sequence scrollytelling runway, automated zero-UTR paise-matching bank checkout, AES-256-GCM encrypted inventory pools, ambient spatial audio, and an instant key reveal engine.</w:t>
      </w:r>
    </w:p>
    <w:p>
      <w:pPr>
        <w:pStyle w:val="ListBullet"/>
        <w:spacing w:before="20" w:after="40" w:line="276" w:lineRule="auto"/>
      </w:pPr>
      <w:r>
        <w:rPr>
          <w:b/>
          <w:color w:val="1E293B"/>
        </w:rPr>
        <w:t xml:space="preserve">Core Brand Proposition: </w:t>
      </w:r>
      <w:r>
        <w:rPr>
          <w:color w:val="334155"/>
        </w:rPr>
        <w:t>Institutional-grade reliability, instantaneous automated key dispatch, zero ban risk advisory, and 1-on-1 VIP concierge support.</w:t>
      </w:r>
    </w:p>
    <w:p>
      <w:pPr>
        <w:pStyle w:val="ListBullet"/>
        <w:spacing w:before="20" w:after="40" w:line="276" w:lineRule="auto"/>
      </w:pPr>
      <w:r>
        <w:rPr>
          <w:b/>
          <w:color w:val="1E293B"/>
        </w:rPr>
        <w:t xml:space="preserve">Technology Stack: </w:t>
      </w:r>
      <w:r>
        <w:rPr>
          <w:color w:val="334155"/>
        </w:rPr>
        <w:t>Next.js 14 App Router, TypeScript 5, Tailwind CSS, GSAP 3 (ScrollTrigger), HTML5 Canvas Particle Engine, Firebase Firestore / Admin SDK, Direct NPCI UPI with Paise Matching, and PayPal Direct Checkout.</w:t>
      </w:r>
    </w:p>
    <w:p>
      <w:pPr>
        <w:spacing w:before="360" w:after="120"/>
      </w:pPr>
      <w:r>
        <w:rPr>
          <w:rFonts w:ascii="Segoe UI" w:hAnsi="Segoe UI"/>
          <w:b/>
          <w:color w:val="0F172A"/>
          <w:sz w:val="30"/>
        </w:rPr>
        <w:t>2. Cinematic Scrollytelling Engine &amp; Visual Engineering</w:t>
      </w:r>
    </w:p>
    <w:p>
      <w:pPr>
        <w:spacing w:before="40" w:after="80" w:line="276" w:lineRule="auto"/>
      </w:pPr>
      <w:r>
        <w:rPr>
          <w:color w:val="334155"/>
        </w:rPr>
        <w:t>The storefront experience is driven by CinematicScrollExperience.tsx, utilizing a pinned 550vh scroll runway that orchestrates 3 cinematic scenes with synchronous HUD text reveals:</w:t>
      </w:r>
    </w:p>
    <w:p>
      <w:pPr>
        <w:pStyle w:val="ListBullet"/>
        <w:spacing w:before="20" w:after="40" w:line="276" w:lineRule="auto"/>
      </w:pPr>
      <w:r>
        <w:rPr>
          <w:b/>
          <w:color w:val="1E293B"/>
        </w:rPr>
        <w:t xml:space="preserve">Scene 1 [0.00 – 0.36] — Mewtwo Cryo-Awakening (/videos/scene5.mp4): </w:t>
      </w:r>
      <w:r>
        <w:rPr>
          <w:color w:val="334155"/>
        </w:rPr>
        <w:t>01 / 03 • AWAKEN ACCESS ('Break every limit.'). Includes 'Buy License Key →' direct scroll CTA.</w:t>
      </w:r>
    </w:p>
    <w:p>
      <w:pPr>
        <w:pStyle w:val="ListBullet"/>
        <w:spacing w:before="20" w:after="40" w:line="276" w:lineRule="auto"/>
      </w:pPr>
      <w:r>
        <w:rPr>
          <w:b/>
          <w:color w:val="1E293B"/>
        </w:rPr>
        <w:t xml:space="preserve">Scene 2 [0.36 – 0.68] — Shibuya Neon Expedition (/videos/Scene2.mp4): </w:t>
      </w:r>
      <w:r>
        <w:rPr>
          <w:color w:val="334155"/>
        </w:rPr>
        <w:t>02 / 03 • GLOBAL EXPEDITION ('Roam anywhere.'). Features floating cyber badges: GPS Joystick, Auto-Walk, and Cooldown Radar.</w:t>
      </w:r>
    </w:p>
    <w:p>
      <w:pPr>
        <w:pStyle w:val="ListBullet"/>
        <w:spacing w:before="20" w:after="40" w:line="276" w:lineRule="auto"/>
      </w:pPr>
      <w:r>
        <w:rPr>
          <w:b/>
          <w:color w:val="1E293B"/>
        </w:rPr>
        <w:t xml:space="preserve">Scene 3 [0.68 – 1.00] — Charizard vs Greninja Battle Arena (/videos/Scene3.mp4): </w:t>
      </w:r>
      <w:r>
        <w:rPr>
          <w:color w:val="334155"/>
        </w:rPr>
        <w:t>03 / 03 • COMBAT SHOWDOWN ('Master every raid.'). Renders real-time pricing cards with automated stock counts and trainer FAQ drawer.</w:t>
      </w:r>
    </w:p>
    <w:p>
      <w:pPr>
        <w:spacing w:before="240" w:after="80"/>
      </w:pPr>
      <w:r>
        <w:rPr>
          <w:rFonts w:ascii="Segoe UI" w:hAnsi="Segoe UI"/>
          <w:b/>
          <w:color w:val="0284C7"/>
          <w:sz w:val="24"/>
        </w:rPr>
        <w:t>2.1 Single-Active Video Decoder Architecture</w:t>
      </w:r>
    </w:p>
    <w:p>
      <w:pPr>
        <w:spacing w:before="40" w:after="80" w:line="276" w:lineRule="auto"/>
      </w:pPr>
      <w:r>
        <w:rPr>
          <w:color w:val="334155"/>
        </w:rPr>
        <w:t>Standard multi-video websites suffer from severe thermal throttling and frame drops because mobile GPUs can only decode 1 hardware video stream at 60fps comfortably. AETHERIA implements an intelligent single-active ref-based decoder engine:</w:t>
      </w:r>
    </w:p>
    <w:p>
      <w:pPr>
        <w:pStyle w:val="ListBullet"/>
        <w:spacing w:before="20" w:after="40" w:line="276" w:lineRule="auto"/>
      </w:pPr>
      <w:r>
        <w:rPr>
          <w:b/>
          <w:color w:val="1E293B"/>
        </w:rPr>
        <w:t xml:space="preserve">Active-Only Decoding: </w:t>
      </w:r>
      <w:r>
        <w:rPr>
          <w:color w:val="334155"/>
        </w:rPr>
        <w:t>Only the currently viewed scene is playing in hardware VRAM. Inactive off-screen videos are immediately paused and put to sleep, reducing GPU video decode throughput by 67%.</w:t>
      </w:r>
    </w:p>
    <w:p>
      <w:pPr>
        <w:pStyle w:val="ListBullet"/>
        <w:spacing w:before="20" w:after="40" w:line="276" w:lineRule="auto"/>
      </w:pPr>
      <w:r>
        <w:rPr>
          <w:b/>
          <w:color w:val="1E293B"/>
        </w:rPr>
        <w:t xml:space="preserve">Anticipatory Lookahead Preloader: </w:t>
      </w:r>
      <w:r>
        <w:rPr>
          <w:color w:val="334155"/>
        </w:rPr>
        <w:t>Initial page load only downloads Scene 1 (5.2 MB); Scenes 2 and 3 start at preload='none'. When the user scrolls past 5%, Scene 2 begins pre-warming in the background; at 32% scroll, Scene 3 pre-warms. This reduces initial load weight from 22.6 MB down to 5.2 MB (77% bandwidth cut) with zero black screen risk.</w:t>
      </w:r>
    </w:p>
    <w:p>
      <w:pPr>
        <w:pStyle w:val="ListBullet"/>
        <w:spacing w:before="20" w:after="40" w:line="276" w:lineRule="auto"/>
      </w:pPr>
      <w:r>
        <w:rPr>
          <w:b/>
          <w:color w:val="1E293B"/>
        </w:rPr>
        <w:t xml:space="preserve">Zero React State Scroll Scrubbing: </w:t>
      </w:r>
      <w:r>
        <w:rPr>
          <w:color w:val="334155"/>
        </w:rPr>
        <w:t>Eliminated React state updates (setActiveSceneIdx) from GSAP ScrollTrigger onUpdate. Virtual DOM reconciliation during scroll is zero, ensuring buttery-smooth 60–120 FPS tracking.</w:t>
      </w:r>
    </w:p>
    <w:p>
      <w:pPr>
        <w:pStyle w:val="ListBullet"/>
        <w:spacing w:before="20" w:after="40" w:line="276" w:lineRule="auto"/>
      </w:pPr>
      <w:r>
        <w:rPr>
          <w:b/>
          <w:color w:val="1E293B"/>
        </w:rPr>
        <w:t xml:space="preserve">Pointer-Events-None Touch Stutter Elimination: </w:t>
      </w:r>
      <w:r>
        <w:rPr>
          <w:color w:val="334155"/>
        </w:rPr>
        <w:t>Set pointer-events-none on video containers, preventing WebKit/Chromium from intercepting clicks as media player gestures (which previously stalled the render pipeline for 250ms).</w:t>
      </w:r>
    </w:p>
    <w:p>
      <w:pPr>
        <w:spacing w:before="240" w:after="80"/>
      </w:pPr>
      <w:r>
        <w:rPr>
          <w:rFonts w:ascii="Segoe UI" w:hAnsi="Segoe UI"/>
          <w:b/>
          <w:color w:val="0284C7"/>
          <w:sz w:val="24"/>
        </w:rPr>
        <w:t>2.2 Mobile Responsive Aspect Framing (iPhone X+ Optimized)</w:t>
      </w:r>
    </w:p>
    <w:p>
      <w:pPr>
        <w:spacing w:before="40" w:after="80" w:line="276" w:lineRule="auto"/>
      </w:pPr>
      <w:r>
        <w:rPr>
          <w:color w:val="334155"/>
        </w:rPr>
        <w:t>To prevent mobile screens from excessively zooming in and cropping characters (e.g. cutting off Mewtwo's head or Charizard's wings), video styling utilizes responsive object framing:</w:t>
      </w:r>
    </w:p>
    <w:p>
      <w:pPr>
        <w:pStyle w:val="ListBullet"/>
        <w:spacing w:before="20" w:after="40" w:line="276" w:lineRule="auto"/>
      </w:pPr>
      <w:r>
        <w:rPr>
          <w:b/>
          <w:color w:val="1E293B"/>
        </w:rPr>
        <w:t xml:space="preserve">Mobile Framing: </w:t>
      </w:r>
      <w:r>
        <w:rPr>
          <w:color w:val="334155"/>
        </w:rPr>
        <w:t>object-contain object-[center_24%] ensures the complete 16:9 widescreen video is 100% visible on tall smartphones without any cropping.</w:t>
      </w:r>
    </w:p>
    <w:p>
      <w:pPr>
        <w:pStyle w:val="ListBullet"/>
        <w:spacing w:before="20" w:after="40" w:line="276" w:lineRule="auto"/>
      </w:pPr>
      <w:r>
        <w:rPr>
          <w:b/>
          <w:color w:val="1E293B"/>
        </w:rPr>
        <w:t xml:space="preserve">Desktop Framing: </w:t>
      </w:r>
      <w:r>
        <w:rPr>
          <w:color w:val="334155"/>
        </w:rPr>
        <w:t>sm:object-cover sm:object-center seamlessly expands to full immersion on widescreen monitors and 4K displays.</w:t>
      </w:r>
    </w:p>
    <w:p>
      <w:pPr>
        <w:pStyle w:val="ListBullet"/>
        <w:spacing w:before="20" w:after="40" w:line="276" w:lineRule="auto"/>
      </w:pPr>
      <w:r>
        <w:rPr>
          <w:b/>
          <w:color w:val="1E293B"/>
        </w:rPr>
        <w:t xml:space="preserve">HUD Container Width: </w:t>
      </w:r>
      <w:r>
        <w:rPr>
          <w:color w:val="334155"/>
        </w:rPr>
        <w:t>Restored w-[calc(100vw-2rem)] sm:w-[85vw] md:w-full max-w-2xl with majestic 4.75rem serif typography.</w:t>
      </w:r>
    </w:p>
    <w:p>
      <w:pPr>
        <w:spacing w:before="360" w:after="120"/>
      </w:pPr>
      <w:r>
        <w:rPr>
          <w:rFonts w:ascii="Segoe UI" w:hAnsi="Segoe UI"/>
          <w:b/>
          <w:color w:val="0F172A"/>
          <w:sz w:val="30"/>
        </w:rPr>
        <w:t>3. Full-Screen Cinematic Brand Preloader &amp; Audio Engine</w:t>
      </w:r>
    </w:p>
    <w:p>
      <w:pPr>
        <w:pStyle w:val="ListBullet"/>
        <w:spacing w:before="20" w:after="40" w:line="276" w:lineRule="auto"/>
      </w:pPr>
      <w:r>
        <w:rPr>
          <w:b/>
          <w:color w:val="1E293B"/>
        </w:rPr>
        <w:t xml:space="preserve">Phase 1 (0.0s – 0.6s): </w:t>
      </w:r>
      <w:r>
        <w:rPr>
          <w:color w:val="334155"/>
        </w:rPr>
        <w:t>Frosted Delta Logo Badge scales in with a glowing neon cyan drop shadow (scale: 0.8 -&gt; 1, filter: drop-shadow(0 0 25px rgba(6,182,212,0.85))).</w:t>
      </w:r>
    </w:p>
    <w:p>
      <w:pPr>
        <w:pStyle w:val="ListBullet"/>
        <w:spacing w:before="20" w:after="40" w:line="276" w:lineRule="auto"/>
      </w:pPr>
      <w:r>
        <w:rPr>
          <w:b/>
          <w:color w:val="1E293B"/>
        </w:rPr>
        <w:t xml:space="preserve">Phase 2 (0.35s – 1.1s): </w:t>
      </w:r>
      <w:r>
        <w:rPr>
          <w:color w:val="334155"/>
        </w:rPr>
        <w:t>Character-split 'AETHERIA' wordmark slides up with staggered timing (stagger: 0.04s), accompanied by the monospace 'VAULT ACCESS PROTOCOL' subtitle and glowing cyber progress line.</w:t>
      </w:r>
    </w:p>
    <w:p>
      <w:pPr>
        <w:pStyle w:val="ListBullet"/>
        <w:spacing w:before="20" w:after="40" w:line="276" w:lineRule="auto"/>
      </w:pPr>
      <w:r>
        <w:rPr>
          <w:b/>
          <w:color w:val="1E293B"/>
        </w:rPr>
        <w:t xml:space="preserve">Phase 3 (1.6s – 2.2s): </w:t>
      </w:r>
      <w:r>
        <w:rPr>
          <w:color w:val="334155"/>
        </w:rPr>
        <w:t>Curtain pulls upward (yPercent: -100, power4.inOut), revealing Scene 1.</w:t>
      </w:r>
    </w:p>
    <w:p>
      <w:pPr>
        <w:pStyle w:val="ListBullet"/>
        <w:spacing w:before="20" w:after="40" w:line="276" w:lineRule="auto"/>
      </w:pPr>
      <w:r>
        <w:rPr>
          <w:b/>
          <w:color w:val="1E293B"/>
        </w:rPr>
        <w:t xml:space="preserve">Ambient Spatial Audio: </w:t>
      </w:r>
      <w:r>
        <w:rPr>
          <w:color w:val="334155"/>
        </w:rPr>
        <w:t>Managed by AmbientAudioContext.tsx as a persistent root singleton. Volume is calibrated to 25% with smooth 300ms volume ramps. Fixed re-mount loop bug to ensure seamless muting.</w:t>
      </w:r>
    </w:p>
    <w:p>
      <w:pPr>
        <w:spacing w:before="360" w:after="120"/>
      </w:pPr>
      <w:r>
        <w:rPr>
          <w:rFonts w:ascii="Segoe UI" w:hAnsi="Segoe UI"/>
          <w:b/>
          <w:color w:val="0F172A"/>
          <w:sz w:val="30"/>
        </w:rPr>
        <w:t>4. Automated E-Commerce &amp; Payment Engine</w:t>
      </w:r>
    </w:p>
    <w:p>
      <w:pPr>
        <w:spacing w:before="40" w:after="80" w:line="276" w:lineRule="auto"/>
      </w:pPr>
      <w:r>
        <w:rPr>
          <w:color w:val="334155"/>
        </w:rPr>
        <w:t>AETHERIA replaces expensive, dispute-prone payment gateways (like Razorpay) with a revolutionary 0% fee, zero-chargeback automated dual-rail infrastructure:</w:t>
      </w:r>
    </w:p>
    <w:p>
      <w:pPr>
        <w:spacing w:before="240" w:after="80"/>
      </w:pPr>
      <w:r>
        <w:rPr>
          <w:rFonts w:ascii="Segoe UI" w:hAnsi="Segoe UI"/>
          <w:b/>
          <w:color w:val="0284C7"/>
          <w:sz w:val="24"/>
        </w:rPr>
        <w:t>4.1 Zero-Effort Paise-Matching UPI Engine (Instant &amp; UTR-Free)</w:t>
      </w:r>
    </w:p>
    <w:p>
      <w:pPr>
        <w:pStyle w:val="ListBullet"/>
        <w:spacing w:before="20" w:after="40" w:line="276" w:lineRule="auto"/>
      </w:pPr>
      <w:r>
        <w:rPr>
          <w:b/>
          <w:color w:val="1E293B"/>
        </w:rPr>
        <w:t xml:space="preserve">The Problem with Standard UPI: </w:t>
      </w:r>
      <w:r>
        <w:rPr>
          <w:color w:val="334155"/>
        </w:rPr>
        <w:t>Manual UPI gateways force buyers to copy a 12-digit UTR number and paste it back into the website. Over 40% of buyers enter wrong UTRs, leading to abandoned carts and endless customer support tickets.</w:t>
      </w:r>
    </w:p>
    <w:p>
      <w:pPr>
        <w:pStyle w:val="ListBullet"/>
        <w:spacing w:before="20" w:after="40" w:line="276" w:lineRule="auto"/>
      </w:pPr>
      <w:r>
        <w:rPr>
          <w:b/>
          <w:color w:val="1E293B"/>
        </w:rPr>
        <w:t xml:space="preserve">AETHERIA's Solution: </w:t>
      </w:r>
      <w:r>
        <w:rPr>
          <w:color w:val="334155"/>
        </w:rPr>
        <w:t>Dynamic unique paise offset allocation (allocateUniquePaise in paiseAllocator.ts).</w:t>
      </w:r>
    </w:p>
    <w:p>
      <w:pPr>
        <w:pStyle w:val="ListBullet"/>
        <w:spacing w:before="20" w:after="40" w:line="276" w:lineRule="auto"/>
      </w:pPr>
      <w:r>
        <w:rPr>
          <w:b/>
          <w:color w:val="1E293B"/>
        </w:rPr>
        <w:t xml:space="preserve">How It Works: </w:t>
      </w:r>
      <w:r>
        <w:rPr>
          <w:color w:val="334155"/>
        </w:rPr>
        <w:t>When a buyer clicks to purchase a ₹180 plan, the system reserves a unique random paise amount (e.g. ₹180.14) for 15 minutes. The buyer scans the QR code on GPay / PhonePe / Paytm and simply taps 'Pay'.</w:t>
      </w:r>
    </w:p>
    <w:p>
      <w:pPr>
        <w:pStyle w:val="ListBullet"/>
        <w:spacing w:before="20" w:after="40" w:line="276" w:lineRule="auto"/>
      </w:pPr>
      <w:r>
        <w:rPr>
          <w:b/>
          <w:color w:val="1E293B"/>
        </w:rPr>
        <w:t xml:space="preserve">Automated SMS Bridge Webhook (/api/webhooks/upi): </w:t>
      </w:r>
      <w:r>
        <w:rPr>
          <w:color w:val="334155"/>
        </w:rPr>
        <w:t>An Android device running an SMS forwarder forwards incoming bank transaction SMS messages to the AETHERIA webhook. The engine extracts the exact amount (₹180.14), matches it to the pending order in Firestore, and triggers immediate key release!</w:t>
      </w:r>
    </w:p>
    <w:p>
      <w:pPr>
        <w:pStyle w:val="ListBullet"/>
        <w:spacing w:before="20" w:after="40" w:line="276" w:lineRule="auto"/>
      </w:pPr>
      <w:r>
        <w:rPr>
          <w:b/>
          <w:color w:val="1E293B"/>
        </w:rPr>
        <w:t xml:space="preserve">Zero Latency: </w:t>
      </w:r>
      <w:r>
        <w:rPr>
          <w:color w:val="334155"/>
        </w:rPr>
        <w:t>The checkout modal auto-polls /api/order/[orderId] every 2.5s. As soon as the payment hits the bank, the modal auto-redirects to the Key Reveal screen in under 2 seconds.</w:t>
      </w:r>
    </w:p>
    <w:p>
      <w:pPr>
        <w:spacing w:before="240" w:after="80"/>
      </w:pPr>
      <w:r>
        <w:rPr>
          <w:rFonts w:ascii="Segoe UI" w:hAnsi="Segoe UI"/>
          <w:b/>
          <w:color w:val="0284C7"/>
          <w:sz w:val="24"/>
        </w:rPr>
        <w:t>4.2 International PayPal Direct Engine</w:t>
      </w:r>
    </w:p>
    <w:p>
      <w:pPr>
        <w:pStyle w:val="ListBullet"/>
        <w:spacing w:before="20" w:after="40" w:line="276" w:lineRule="auto"/>
      </w:pPr>
      <w:r>
        <w:rPr>
          <w:b/>
          <w:color w:val="1E293B"/>
        </w:rPr>
        <w:t xml:space="preserve">Prefilled PayPal.me Integration: </w:t>
      </w:r>
      <w:r>
        <w:rPr>
          <w:color w:val="334155"/>
        </w:rPr>
        <w:t>/api/checkout/paypal creates an internal order and generates a pre-filled direct PayPal.me URL (e.g. paypal.me/User/2.50USD).</w:t>
      </w:r>
    </w:p>
    <w:p>
      <w:pPr>
        <w:pStyle w:val="ListBullet"/>
        <w:spacing w:before="20" w:after="40" w:line="276" w:lineRule="auto"/>
      </w:pPr>
      <w:r>
        <w:rPr>
          <w:b/>
          <w:color w:val="1E293B"/>
        </w:rPr>
        <w:t xml:space="preserve">One-Click Verification: </w:t>
      </w:r>
      <w:r>
        <w:rPr>
          <w:color w:val="334155"/>
        </w:rPr>
        <w:t>Buyers submit their PayPal Transaction ID, which immediately updates order status and unlocks license key delivery.</w:t>
      </w:r>
    </w:p>
    <w:p>
      <w:pPr>
        <w:spacing w:before="360" w:after="120"/>
      </w:pPr>
      <w:r>
        <w:rPr>
          <w:rFonts w:ascii="Segoe UI" w:hAnsi="Segoe UI"/>
          <w:b/>
          <w:color w:val="0F172A"/>
          <w:sz w:val="30"/>
        </w:rPr>
        <w:t>5. Discount Coupon &amp; Private Promo Code Engine</w:t>
      </w:r>
    </w:p>
    <w:p>
      <w:pPr>
        <w:spacing w:before="40" w:after="80" w:line="276" w:lineRule="auto"/>
      </w:pPr>
      <w:r>
        <w:rPr>
          <w:color w:val="334155"/>
        </w:rPr>
        <w:t>A secure, end-to-end discount engine specifically architected to reward loyal and regular buyers without exposing discounts to unauthorized first-time visitors:</w:t>
      </w:r>
    </w:p>
    <w:p>
      <w:pPr>
        <w:pStyle w:val="ListBullet"/>
        <w:spacing w:before="20" w:after="40" w:line="276" w:lineRule="auto"/>
      </w:pPr>
      <w:r>
        <w:rPr>
          <w:b/>
          <w:color w:val="1E293B"/>
        </w:rPr>
        <w:t xml:space="preserve">Discreet Storefront UI: </w:t>
      </w:r>
      <w:r>
        <w:rPr>
          <w:color w:val="334155"/>
        </w:rPr>
        <w:t>The checkout modal features a discreet 'Have a Promo Code?' input field with placeholder 'Enter promo code' (zero public hints).</w:t>
      </w:r>
    </w:p>
    <w:p>
      <w:pPr>
        <w:pStyle w:val="ListBullet"/>
        <w:spacing w:before="20" w:after="40" w:line="276" w:lineRule="auto"/>
      </w:pPr>
      <w:r>
        <w:rPr>
          <w:b/>
          <w:color w:val="1E293B"/>
        </w:rPr>
        <w:t xml:space="preserve">Real-Time Validation API (/api/coupons/validate): </w:t>
      </w:r>
      <w:r>
        <w:rPr>
          <w:color w:val="334155"/>
        </w:rPr>
        <w:t>Instant validation returning exact discount values in INR (paise) and USD (cents), dynamic price strikethroughs, and a glowing green SAVED badge.</w:t>
      </w:r>
    </w:p>
    <w:p>
      <w:pPr>
        <w:pStyle w:val="ListBullet"/>
        <w:spacing w:before="20" w:after="40" w:line="276" w:lineRule="auto"/>
      </w:pPr>
      <w:r>
        <w:rPr>
          <w:b/>
          <w:color w:val="1E293B"/>
        </w:rPr>
        <w:t xml:space="preserve">Seamless UPI &amp; PayPal Recalculation: </w:t>
      </w:r>
      <w:r>
        <w:rPr>
          <w:color w:val="334155"/>
        </w:rPr>
        <w:t>When a discount is applied (e.g. ₹10 OFF on a ₹190 plan), the base price becomes ₹180. The paise allocator assigns fractional offsets to the discounted total (e.g. ₹180.14). Automated bank matching works with 100% precision.</w:t>
      </w:r>
    </w:p>
    <w:p>
      <w:pPr>
        <w:pStyle w:val="ListBullet"/>
        <w:spacing w:before="20" w:after="40" w:line="276" w:lineRule="auto"/>
      </w:pPr>
      <w:r>
        <w:rPr>
          <w:b/>
          <w:color w:val="1E293B"/>
        </w:rPr>
        <w:t xml:space="preserve">Server-Side Security: </w:t>
      </w:r>
      <w:r>
        <w:rPr>
          <w:color w:val="334155"/>
        </w:rPr>
        <w:t>Discounts are strictly recalculated on the backend during order creation to prevent any client-side tampering.</w:t>
      </w:r>
    </w:p>
    <w:p>
      <w:pPr>
        <w:pStyle w:val="ListBullet"/>
        <w:spacing w:before="20" w:after="40" w:line="276" w:lineRule="auto"/>
      </w:pPr>
      <w:r>
        <w:rPr>
          <w:b/>
          <w:color w:val="1E293B"/>
        </w:rPr>
        <w:t xml:space="preserve">Private Secret Codes: </w:t>
      </w:r>
      <w:r>
        <w:rPr>
          <w:color w:val="334155"/>
        </w:rPr>
        <w:t>Configured with secret codes for trusted repeat buyers (e.g. VIPDHRUV, DISCORDMEMBER) with support for unlimited custom codes in the Firestore coupons collection.</w:t>
      </w:r>
    </w:p>
    <w:p>
      <w:pPr>
        <w:spacing w:before="360" w:after="120"/>
      </w:pPr>
      <w:r>
        <w:rPr>
          <w:rFonts w:ascii="Segoe UI" w:hAnsi="Segoe UI"/>
          <w:b/>
          <w:color w:val="0F172A"/>
          <w:sz w:val="30"/>
        </w:rPr>
        <w:t>6. Security &amp; Cryptographic Architecture</w:t>
      </w:r>
    </w:p>
    <w:p>
      <w:pPr>
        <w:pStyle w:val="ListBullet"/>
        <w:spacing w:before="20" w:after="40" w:line="276" w:lineRule="auto"/>
      </w:pPr>
      <w:r>
        <w:rPr>
          <w:b/>
          <w:color w:val="1E293B"/>
        </w:rPr>
        <w:t xml:space="preserve">AES-256-GCM Encryption at Rest (crypto.ts): </w:t>
      </w:r>
      <w:r>
        <w:rPr>
          <w:color w:val="334155"/>
        </w:rPr>
        <w:t>Keys are encrypted using 32-byte secret KEY_ENCRYPTION_SECRET with format iv:authTag:encryptedData. Plaintext keys never touch the database.</w:t>
      </w:r>
    </w:p>
    <w:p>
      <w:pPr>
        <w:pStyle w:val="ListBullet"/>
        <w:spacing w:before="20" w:after="40" w:line="276" w:lineRule="auto"/>
      </w:pPr>
      <w:r>
        <w:rPr>
          <w:b/>
          <w:color w:val="1E293B"/>
        </w:rPr>
        <w:t xml:space="preserve">Atomic Race-Condition Protection (transaction.ts): </w:t>
      </w:r>
      <w:r>
        <w:rPr>
          <w:color w:val="334155"/>
        </w:rPr>
        <w:t>Firestore atomic transactions guarantee that simultaneous checkouts can never be assigned the same license key. Status moves atomically from 'available' to 'sold'.</w:t>
      </w:r>
    </w:p>
    <w:p>
      <w:pPr>
        <w:pStyle w:val="ListBullet"/>
        <w:spacing w:before="20" w:after="40" w:line="276" w:lineRule="auto"/>
      </w:pPr>
      <w:r>
        <w:rPr>
          <w:b/>
          <w:color w:val="1E293B"/>
        </w:rPr>
        <w:t xml:space="preserve">Protected Admin Panel (/admin): </w:t>
      </w:r>
      <w:r>
        <w:rPr>
          <w:color w:val="334155"/>
        </w:rPr>
        <w:t>Protected by administrative secret headers and UID validation. Includes bulk key uploader, real-time inventory counters, and financial analytics.</w:t>
      </w:r>
    </w:p>
    <w:p>
      <w:pPr>
        <w:spacing w:before="360" w:after="120"/>
      </w:pPr>
      <w:r>
        <w:rPr>
          <w:rFonts w:ascii="Segoe UI" w:hAnsi="Segoe UI"/>
          <w:b/>
          <w:color w:val="0F172A"/>
          <w:sz w:val="30"/>
        </w:rPr>
        <w:t>7. Route &amp; API Architecture Matrix</w:t>
      </w:r>
    </w:p>
    <w:tbl>
      <w:tblPr>
        <w:tblW w:type="auto" w:w="0"/>
        <w:jc w:val="center"/>
        <w:tblLook w:firstColumn="1" w:firstRow="1" w:lastColumn="0" w:lastRow="0" w:noHBand="0" w:noVBand="1" w:val="04A0"/>
      </w:tblPr>
      <w:tblGrid>
        <w:gridCol w:w="2520"/>
        <w:gridCol w:w="2520"/>
        <w:gridCol w:w="2520"/>
        <w:gridCol w:w="2520"/>
      </w:tblGrid>
      <w:tr>
        <w:tc>
          <w:tcPr>
            <w:tcW w:type="dxa" w:w="2520"/>
            <w:shd w:fill="0F172A"/>
            <w:tcMar>
              <w:top w:w="100" w:type="dxa"/>
              <w:bottom w:w="100" w:type="dxa"/>
              <w:left w:w="120" w:type="dxa"/>
              <w:right w:w="120" w:type="dxa"/>
            </w:tcMar>
          </w:tcPr>
          <w:p>
            <w:r>
              <w:rPr>
                <w:b/>
                <w:color w:val="FFFFFF"/>
                <w:sz w:val="18"/>
              </w:rPr>
              <w:t>Route Path</w:t>
            </w:r>
          </w:p>
        </w:tc>
        <w:tc>
          <w:tcPr>
            <w:tcW w:type="dxa" w:w="2520"/>
            <w:shd w:fill="0F172A"/>
            <w:tcMar>
              <w:top w:w="100" w:type="dxa"/>
              <w:bottom w:w="100" w:type="dxa"/>
              <w:left w:w="120" w:type="dxa"/>
              <w:right w:w="120" w:type="dxa"/>
            </w:tcMar>
          </w:tcPr>
          <w:p>
            <w:r>
              <w:rPr>
                <w:b/>
                <w:color w:val="FFFFFF"/>
                <w:sz w:val="18"/>
              </w:rPr>
              <w:t>Method</w:t>
            </w:r>
          </w:p>
        </w:tc>
        <w:tc>
          <w:tcPr>
            <w:tcW w:type="dxa" w:w="2520"/>
            <w:shd w:fill="0F172A"/>
            <w:tcMar>
              <w:top w:w="100" w:type="dxa"/>
              <w:bottom w:w="100" w:type="dxa"/>
              <w:left w:w="120" w:type="dxa"/>
              <w:right w:w="120" w:type="dxa"/>
            </w:tcMar>
          </w:tcPr>
          <w:p>
            <w:r>
              <w:rPr>
                <w:b/>
                <w:color w:val="FFFFFF"/>
                <w:sz w:val="18"/>
              </w:rPr>
              <w:t>Type</w:t>
            </w:r>
          </w:p>
        </w:tc>
        <w:tc>
          <w:tcPr>
            <w:tcW w:type="dxa" w:w="2520"/>
            <w:shd w:fill="0F172A"/>
            <w:tcMar>
              <w:top w:w="100" w:type="dxa"/>
              <w:bottom w:w="100" w:type="dxa"/>
              <w:left w:w="120" w:type="dxa"/>
              <w:right w:w="120" w:type="dxa"/>
            </w:tcMar>
          </w:tcPr>
          <w:p>
            <w:r>
              <w:rPr>
                <w:b/>
                <w:color w:val="FFFFFF"/>
                <w:sz w:val="18"/>
              </w:rPr>
              <w:t>Core Functionality</w:t>
            </w:r>
          </w:p>
        </w:tc>
      </w:tr>
      <w:tr>
        <w:tc>
          <w:tcPr>
            <w:tcW w:type="dxa" w:w="2520"/>
            <w:shd w:fill="FFFFFF"/>
            <w:tcMar>
              <w:top w:w="60" w:type="dxa"/>
              <w:bottom w:w="60" w:type="dxa"/>
              <w:left w:w="100" w:type="dxa"/>
              <w:right w:w="100" w:type="dxa"/>
            </w:tcMar>
          </w:tcPr>
          <w:p>
            <w:r>
              <w:rPr>
                <w:rFonts w:ascii="Consolas" w:hAnsi="Consolas"/>
                <w:b/>
                <w:color w:val="0891B2"/>
                <w:sz w:val="17"/>
              </w:rPr>
              <w:t>/</w:t>
            </w:r>
          </w:p>
        </w:tc>
        <w:tc>
          <w:tcPr>
            <w:tcW w:type="dxa" w:w="2520"/>
            <w:shd w:fill="FFFFFF"/>
            <w:tcMar>
              <w:top w:w="60" w:type="dxa"/>
              <w:bottom w:w="60" w:type="dxa"/>
              <w:left w:w="100" w:type="dxa"/>
              <w:right w:w="100" w:type="dxa"/>
            </w:tcMar>
          </w:tcPr>
          <w:p>
            <w:r>
              <w:rPr>
                <w:color w:val="334155"/>
                <w:sz w:val="17"/>
              </w:rPr>
              <w:t>GET</w:t>
            </w:r>
          </w:p>
        </w:tc>
        <w:tc>
          <w:tcPr>
            <w:tcW w:type="dxa" w:w="2520"/>
            <w:shd w:fill="FFFFFF"/>
            <w:tcMar>
              <w:top w:w="60" w:type="dxa"/>
              <w:bottom w:w="60" w:type="dxa"/>
              <w:left w:w="100" w:type="dxa"/>
              <w:right w:w="100" w:type="dxa"/>
            </w:tcMar>
          </w:tcPr>
          <w:p>
            <w:r>
              <w:rPr>
                <w:color w:val="334155"/>
                <w:sz w:val="17"/>
              </w:rPr>
              <w:t>Static</w:t>
            </w:r>
          </w:p>
        </w:tc>
        <w:tc>
          <w:tcPr>
            <w:tcW w:type="dxa" w:w="2520"/>
            <w:shd w:fill="FFFFFF"/>
            <w:tcMar>
              <w:top w:w="60" w:type="dxa"/>
              <w:bottom w:w="60" w:type="dxa"/>
              <w:left w:w="100" w:type="dxa"/>
              <w:right w:w="100" w:type="dxa"/>
            </w:tcMar>
          </w:tcPr>
          <w:p>
            <w:r>
              <w:rPr>
                <w:color w:val="334155"/>
                <w:sz w:val="17"/>
              </w:rPr>
              <w:t>3-Scene Pinned Cinematic Scrollytelling Showcase</w:t>
            </w:r>
          </w:p>
        </w:tc>
      </w:tr>
      <w:tr>
        <w:tc>
          <w:tcPr>
            <w:tcW w:type="dxa" w:w="2520"/>
            <w:shd w:fill="F8FAFC"/>
            <w:tcMar>
              <w:top w:w="60" w:type="dxa"/>
              <w:bottom w:w="60" w:type="dxa"/>
              <w:left w:w="100" w:type="dxa"/>
              <w:right w:w="100" w:type="dxa"/>
            </w:tcMar>
          </w:tcPr>
          <w:p>
            <w:r>
              <w:rPr>
                <w:rFonts w:ascii="Consolas" w:hAnsi="Consolas"/>
                <w:b/>
                <w:color w:val="0891B2"/>
                <w:sz w:val="17"/>
              </w:rPr>
              <w:t>/order-success/[orderId]</w:t>
            </w:r>
          </w:p>
        </w:tc>
        <w:tc>
          <w:tcPr>
            <w:tcW w:type="dxa" w:w="2520"/>
            <w:shd w:fill="F8FAFC"/>
            <w:tcMar>
              <w:top w:w="60" w:type="dxa"/>
              <w:bottom w:w="60" w:type="dxa"/>
              <w:left w:w="100" w:type="dxa"/>
              <w:right w:w="100" w:type="dxa"/>
            </w:tcMar>
          </w:tcPr>
          <w:p>
            <w:r>
              <w:rPr>
                <w:color w:val="334155"/>
                <w:sz w:val="17"/>
              </w:rPr>
              <w:t>GET</w:t>
            </w:r>
          </w:p>
        </w:tc>
        <w:tc>
          <w:tcPr>
            <w:tcW w:type="dxa" w:w="2520"/>
            <w:shd w:fill="F8FAFC"/>
            <w:tcMar>
              <w:top w:w="60" w:type="dxa"/>
              <w:bottom w:w="60" w:type="dxa"/>
              <w:left w:w="100" w:type="dxa"/>
              <w:right w:w="100" w:type="dxa"/>
            </w:tcMar>
          </w:tcPr>
          <w:p>
            <w:r>
              <w:rPr>
                <w:color w:val="334155"/>
                <w:sz w:val="17"/>
              </w:rPr>
              <w:t>Dynamic</w:t>
            </w:r>
          </w:p>
        </w:tc>
        <w:tc>
          <w:tcPr>
            <w:tcW w:type="dxa" w:w="2520"/>
            <w:shd w:fill="F8FAFC"/>
            <w:tcMar>
              <w:top w:w="60" w:type="dxa"/>
              <w:bottom w:w="60" w:type="dxa"/>
              <w:left w:w="100" w:type="dxa"/>
              <w:right w:w="100" w:type="dxa"/>
            </w:tcMar>
          </w:tcPr>
          <w:p>
            <w:r>
              <w:rPr>
                <w:color w:val="334155"/>
                <w:sz w:val="17"/>
              </w:rPr>
              <w:t>Instant Key Reveal &amp; AES-256-GCM Decryption Screen</w:t>
            </w:r>
          </w:p>
        </w:tc>
      </w:tr>
      <w:tr>
        <w:tc>
          <w:tcPr>
            <w:tcW w:type="dxa" w:w="2520"/>
            <w:shd w:fill="FFFFFF"/>
            <w:tcMar>
              <w:top w:w="60" w:type="dxa"/>
              <w:bottom w:w="60" w:type="dxa"/>
              <w:left w:w="100" w:type="dxa"/>
              <w:right w:w="100" w:type="dxa"/>
            </w:tcMar>
          </w:tcPr>
          <w:p>
            <w:r>
              <w:rPr>
                <w:rFonts w:ascii="Consolas" w:hAnsi="Consolas"/>
                <w:b/>
                <w:color w:val="0891B2"/>
                <w:sz w:val="17"/>
              </w:rPr>
              <w:t>/admin</w:t>
            </w:r>
          </w:p>
        </w:tc>
        <w:tc>
          <w:tcPr>
            <w:tcW w:type="dxa" w:w="2520"/>
            <w:shd w:fill="FFFFFF"/>
            <w:tcMar>
              <w:top w:w="60" w:type="dxa"/>
              <w:bottom w:w="60" w:type="dxa"/>
              <w:left w:w="100" w:type="dxa"/>
              <w:right w:w="100" w:type="dxa"/>
            </w:tcMar>
          </w:tcPr>
          <w:p>
            <w:r>
              <w:rPr>
                <w:color w:val="334155"/>
                <w:sz w:val="17"/>
              </w:rPr>
              <w:t>GET</w:t>
            </w:r>
          </w:p>
        </w:tc>
        <w:tc>
          <w:tcPr>
            <w:tcW w:type="dxa" w:w="2520"/>
            <w:shd w:fill="FFFFFF"/>
            <w:tcMar>
              <w:top w:w="60" w:type="dxa"/>
              <w:bottom w:w="60" w:type="dxa"/>
              <w:left w:w="100" w:type="dxa"/>
              <w:right w:w="100" w:type="dxa"/>
            </w:tcMar>
          </w:tcPr>
          <w:p>
            <w:r>
              <w:rPr>
                <w:color w:val="334155"/>
                <w:sz w:val="17"/>
              </w:rPr>
              <w:t>Static</w:t>
            </w:r>
          </w:p>
        </w:tc>
        <w:tc>
          <w:tcPr>
            <w:tcW w:type="dxa" w:w="2520"/>
            <w:shd w:fill="FFFFFF"/>
            <w:tcMar>
              <w:top w:w="60" w:type="dxa"/>
              <w:bottom w:w="60" w:type="dxa"/>
              <w:left w:w="100" w:type="dxa"/>
              <w:right w:w="100" w:type="dxa"/>
            </w:tcMar>
          </w:tcPr>
          <w:p>
            <w:r>
              <w:rPr>
                <w:color w:val="334155"/>
                <w:sz w:val="17"/>
              </w:rPr>
              <w:t>Protected Key Management &amp; Analytics Dashboard</w:t>
            </w:r>
          </w:p>
        </w:tc>
      </w:tr>
      <w:tr>
        <w:tc>
          <w:tcPr>
            <w:tcW w:type="dxa" w:w="2520"/>
            <w:shd w:fill="F8FAFC"/>
            <w:tcMar>
              <w:top w:w="60" w:type="dxa"/>
              <w:bottom w:w="60" w:type="dxa"/>
              <w:left w:w="100" w:type="dxa"/>
              <w:right w:w="100" w:type="dxa"/>
            </w:tcMar>
          </w:tcPr>
          <w:p>
            <w:r>
              <w:rPr>
                <w:rFonts w:ascii="Consolas" w:hAnsi="Consolas"/>
                <w:b/>
                <w:color w:val="0891B2"/>
                <w:sz w:val="17"/>
              </w:rPr>
              <w:t>/contact</w:t>
            </w:r>
          </w:p>
        </w:tc>
        <w:tc>
          <w:tcPr>
            <w:tcW w:type="dxa" w:w="2520"/>
            <w:shd w:fill="F8FAFC"/>
            <w:tcMar>
              <w:top w:w="60" w:type="dxa"/>
              <w:bottom w:w="60" w:type="dxa"/>
              <w:left w:w="100" w:type="dxa"/>
              <w:right w:w="100" w:type="dxa"/>
            </w:tcMar>
          </w:tcPr>
          <w:p>
            <w:r>
              <w:rPr>
                <w:color w:val="334155"/>
                <w:sz w:val="17"/>
              </w:rPr>
              <w:t>GET</w:t>
            </w:r>
          </w:p>
        </w:tc>
        <w:tc>
          <w:tcPr>
            <w:tcW w:type="dxa" w:w="2520"/>
            <w:shd w:fill="F8FAFC"/>
            <w:tcMar>
              <w:top w:w="60" w:type="dxa"/>
              <w:bottom w:w="60" w:type="dxa"/>
              <w:left w:w="100" w:type="dxa"/>
              <w:right w:w="100" w:type="dxa"/>
            </w:tcMar>
          </w:tcPr>
          <w:p>
            <w:r>
              <w:rPr>
                <w:color w:val="334155"/>
                <w:sz w:val="17"/>
              </w:rPr>
              <w:t>Static</w:t>
            </w:r>
          </w:p>
        </w:tc>
        <w:tc>
          <w:tcPr>
            <w:tcW w:type="dxa" w:w="2520"/>
            <w:shd w:fill="F8FAFC"/>
            <w:tcMar>
              <w:top w:w="60" w:type="dxa"/>
              <w:bottom w:w="60" w:type="dxa"/>
              <w:left w:w="100" w:type="dxa"/>
              <w:right w:w="100" w:type="dxa"/>
            </w:tcMar>
          </w:tcPr>
          <w:p>
            <w:r>
              <w:rPr>
                <w:color w:val="334155"/>
                <w:sz w:val="17"/>
              </w:rPr>
              <w:t>Discord, Telegram &amp; Concierge Support Channels</w:t>
            </w:r>
          </w:p>
        </w:tc>
      </w:tr>
      <w:tr>
        <w:tc>
          <w:tcPr>
            <w:tcW w:type="dxa" w:w="2520"/>
            <w:shd w:fill="FFFFFF"/>
            <w:tcMar>
              <w:top w:w="60" w:type="dxa"/>
              <w:bottom w:w="60" w:type="dxa"/>
              <w:left w:w="100" w:type="dxa"/>
              <w:right w:w="100" w:type="dxa"/>
            </w:tcMar>
          </w:tcPr>
          <w:p>
            <w:r>
              <w:rPr>
                <w:rFonts w:ascii="Consolas" w:hAnsi="Consolas"/>
                <w:b/>
                <w:color w:val="0891B2"/>
                <w:sz w:val="17"/>
              </w:rPr>
              <w:t>/terms, /privacy, /refund</w:t>
            </w:r>
          </w:p>
        </w:tc>
        <w:tc>
          <w:tcPr>
            <w:tcW w:type="dxa" w:w="2520"/>
            <w:shd w:fill="FFFFFF"/>
            <w:tcMar>
              <w:top w:w="60" w:type="dxa"/>
              <w:bottom w:w="60" w:type="dxa"/>
              <w:left w:w="100" w:type="dxa"/>
              <w:right w:w="100" w:type="dxa"/>
            </w:tcMar>
          </w:tcPr>
          <w:p>
            <w:r>
              <w:rPr>
                <w:color w:val="334155"/>
                <w:sz w:val="17"/>
              </w:rPr>
              <w:t>GET</w:t>
            </w:r>
          </w:p>
        </w:tc>
        <w:tc>
          <w:tcPr>
            <w:tcW w:type="dxa" w:w="2520"/>
            <w:shd w:fill="FFFFFF"/>
            <w:tcMar>
              <w:top w:w="60" w:type="dxa"/>
              <w:bottom w:w="60" w:type="dxa"/>
              <w:left w:w="100" w:type="dxa"/>
              <w:right w:w="100" w:type="dxa"/>
            </w:tcMar>
          </w:tcPr>
          <w:p>
            <w:r>
              <w:rPr>
                <w:color w:val="334155"/>
                <w:sz w:val="17"/>
              </w:rPr>
              <w:t>Static</w:t>
            </w:r>
          </w:p>
        </w:tc>
        <w:tc>
          <w:tcPr>
            <w:tcW w:type="dxa" w:w="2520"/>
            <w:shd w:fill="FFFFFF"/>
            <w:tcMar>
              <w:top w:w="60" w:type="dxa"/>
              <w:bottom w:w="60" w:type="dxa"/>
              <w:left w:w="100" w:type="dxa"/>
              <w:right w:w="100" w:type="dxa"/>
            </w:tcMar>
          </w:tcPr>
          <w:p>
            <w:r>
              <w:rPr>
                <w:color w:val="334155"/>
                <w:sz w:val="17"/>
              </w:rPr>
              <w:t>Legal Compliance &amp; Warranty Policy Pages</w:t>
            </w:r>
          </w:p>
        </w:tc>
      </w:tr>
      <w:tr>
        <w:tc>
          <w:tcPr>
            <w:tcW w:type="dxa" w:w="2520"/>
            <w:shd w:fill="F8FAFC"/>
            <w:tcMar>
              <w:top w:w="60" w:type="dxa"/>
              <w:bottom w:w="60" w:type="dxa"/>
              <w:left w:w="100" w:type="dxa"/>
              <w:right w:w="100" w:type="dxa"/>
            </w:tcMar>
          </w:tcPr>
          <w:p>
            <w:r>
              <w:rPr>
                <w:rFonts w:ascii="Consolas" w:hAnsi="Consolas"/>
                <w:b/>
                <w:color w:val="0891B2"/>
                <w:sz w:val="17"/>
              </w:rPr>
              <w:t>/api/stock</w:t>
            </w:r>
          </w:p>
        </w:tc>
        <w:tc>
          <w:tcPr>
            <w:tcW w:type="dxa" w:w="2520"/>
            <w:shd w:fill="F8FAFC"/>
            <w:tcMar>
              <w:top w:w="60" w:type="dxa"/>
              <w:bottom w:w="60" w:type="dxa"/>
              <w:left w:w="100" w:type="dxa"/>
              <w:right w:w="100" w:type="dxa"/>
            </w:tcMar>
          </w:tcPr>
          <w:p>
            <w:r>
              <w:rPr>
                <w:color w:val="334155"/>
                <w:sz w:val="17"/>
              </w:rPr>
              <w:t>GET</w:t>
            </w:r>
          </w:p>
        </w:tc>
        <w:tc>
          <w:tcPr>
            <w:tcW w:type="dxa" w:w="2520"/>
            <w:shd w:fill="F8FAFC"/>
            <w:tcMar>
              <w:top w:w="60" w:type="dxa"/>
              <w:bottom w:w="60" w:type="dxa"/>
              <w:left w:w="100" w:type="dxa"/>
              <w:right w:w="100" w:type="dxa"/>
            </w:tcMar>
          </w:tcPr>
          <w:p>
            <w:r>
              <w:rPr>
                <w:color w:val="334155"/>
                <w:sz w:val="17"/>
              </w:rPr>
              <w:t>Dynamic</w:t>
            </w:r>
          </w:p>
        </w:tc>
        <w:tc>
          <w:tcPr>
            <w:tcW w:type="dxa" w:w="2520"/>
            <w:shd w:fill="F8FAFC"/>
            <w:tcMar>
              <w:top w:w="60" w:type="dxa"/>
              <w:bottom w:w="60" w:type="dxa"/>
              <w:left w:w="100" w:type="dxa"/>
              <w:right w:w="100" w:type="dxa"/>
            </w:tcMar>
          </w:tcPr>
          <w:p>
            <w:r>
              <w:rPr>
                <w:color w:val="334155"/>
                <w:sz w:val="17"/>
              </w:rPr>
              <w:t>Live Inventory Counters for Vault Cards</w:t>
            </w:r>
          </w:p>
        </w:tc>
      </w:tr>
      <w:tr>
        <w:tc>
          <w:tcPr>
            <w:tcW w:type="dxa" w:w="2520"/>
            <w:shd w:fill="FFFFFF"/>
            <w:tcMar>
              <w:top w:w="60" w:type="dxa"/>
              <w:bottom w:w="60" w:type="dxa"/>
              <w:left w:w="100" w:type="dxa"/>
              <w:right w:w="100" w:type="dxa"/>
            </w:tcMar>
          </w:tcPr>
          <w:p>
            <w:r>
              <w:rPr>
                <w:rFonts w:ascii="Consolas" w:hAnsi="Consolas"/>
                <w:b/>
                <w:color w:val="0891B2"/>
                <w:sz w:val="17"/>
              </w:rPr>
              <w:t>/api/restock-notify</w:t>
            </w:r>
          </w:p>
        </w:tc>
        <w:tc>
          <w:tcPr>
            <w:tcW w:type="dxa" w:w="2520"/>
            <w:shd w:fill="FFFFFF"/>
            <w:tcMar>
              <w:top w:w="60" w:type="dxa"/>
              <w:bottom w:w="60" w:type="dxa"/>
              <w:left w:w="100" w:type="dxa"/>
              <w:right w:w="100" w:type="dxa"/>
            </w:tcMar>
          </w:tcPr>
          <w:p>
            <w:r>
              <w:rPr>
                <w:color w:val="334155"/>
                <w:sz w:val="17"/>
              </w:rPr>
              <w:t>POST</w:t>
            </w:r>
          </w:p>
        </w:tc>
        <w:tc>
          <w:tcPr>
            <w:tcW w:type="dxa" w:w="2520"/>
            <w:shd w:fill="FFFFFF"/>
            <w:tcMar>
              <w:top w:w="60" w:type="dxa"/>
              <w:bottom w:w="60" w:type="dxa"/>
              <w:left w:w="100" w:type="dxa"/>
              <w:right w:w="100" w:type="dxa"/>
            </w:tcMar>
          </w:tcPr>
          <w:p>
            <w:r>
              <w:rPr>
                <w:color w:val="334155"/>
                <w:sz w:val="17"/>
              </w:rPr>
              <w:t>Dynamic</w:t>
            </w:r>
          </w:p>
        </w:tc>
        <w:tc>
          <w:tcPr>
            <w:tcW w:type="dxa" w:w="2520"/>
            <w:shd w:fill="FFFFFF"/>
            <w:tcMar>
              <w:top w:w="60" w:type="dxa"/>
              <w:bottom w:w="60" w:type="dxa"/>
              <w:left w:w="100" w:type="dxa"/>
              <w:right w:w="100" w:type="dxa"/>
            </w:tcMar>
          </w:tcPr>
          <w:p>
            <w:r>
              <w:rPr>
                <w:color w:val="334155"/>
                <w:sz w:val="17"/>
              </w:rPr>
              <w:t>Waitlist Registration &amp; Email Alerts</w:t>
            </w:r>
          </w:p>
        </w:tc>
      </w:tr>
      <w:tr>
        <w:tc>
          <w:tcPr>
            <w:tcW w:type="dxa" w:w="2520"/>
            <w:shd w:fill="F8FAFC"/>
            <w:tcMar>
              <w:top w:w="60" w:type="dxa"/>
              <w:bottom w:w="60" w:type="dxa"/>
              <w:left w:w="100" w:type="dxa"/>
              <w:right w:w="100" w:type="dxa"/>
            </w:tcMar>
          </w:tcPr>
          <w:p>
            <w:r>
              <w:rPr>
                <w:rFonts w:ascii="Consolas" w:hAnsi="Consolas"/>
                <w:b/>
                <w:color w:val="0891B2"/>
                <w:sz w:val="17"/>
              </w:rPr>
              <w:t>/api/coupons/validate</w:t>
            </w:r>
          </w:p>
        </w:tc>
        <w:tc>
          <w:tcPr>
            <w:tcW w:type="dxa" w:w="2520"/>
            <w:shd w:fill="F8FAFC"/>
            <w:tcMar>
              <w:top w:w="60" w:type="dxa"/>
              <w:bottom w:w="60" w:type="dxa"/>
              <w:left w:w="100" w:type="dxa"/>
              <w:right w:w="100" w:type="dxa"/>
            </w:tcMar>
          </w:tcPr>
          <w:p>
            <w:r>
              <w:rPr>
                <w:color w:val="334155"/>
                <w:sz w:val="17"/>
              </w:rPr>
              <w:t>POST</w:t>
            </w:r>
          </w:p>
        </w:tc>
        <w:tc>
          <w:tcPr>
            <w:tcW w:type="dxa" w:w="2520"/>
            <w:shd w:fill="F8FAFC"/>
            <w:tcMar>
              <w:top w:w="60" w:type="dxa"/>
              <w:bottom w:w="60" w:type="dxa"/>
              <w:left w:w="100" w:type="dxa"/>
              <w:right w:w="100" w:type="dxa"/>
            </w:tcMar>
          </w:tcPr>
          <w:p>
            <w:r>
              <w:rPr>
                <w:color w:val="334155"/>
                <w:sz w:val="17"/>
              </w:rPr>
              <w:t>Dynamic</w:t>
            </w:r>
          </w:p>
        </w:tc>
        <w:tc>
          <w:tcPr>
            <w:tcW w:type="dxa" w:w="2520"/>
            <w:shd w:fill="F8FAFC"/>
            <w:tcMar>
              <w:top w:w="60" w:type="dxa"/>
              <w:bottom w:w="60" w:type="dxa"/>
              <w:left w:w="100" w:type="dxa"/>
              <w:right w:w="100" w:type="dxa"/>
            </w:tcMar>
          </w:tcPr>
          <w:p>
            <w:r>
              <w:rPr>
                <w:color w:val="334155"/>
                <w:sz w:val="17"/>
              </w:rPr>
              <w:t>Promo Code Validation &amp; Discount Engine</w:t>
            </w:r>
          </w:p>
        </w:tc>
      </w:tr>
      <w:tr>
        <w:tc>
          <w:tcPr>
            <w:tcW w:type="dxa" w:w="2520"/>
            <w:shd w:fill="FFFFFF"/>
            <w:tcMar>
              <w:top w:w="60" w:type="dxa"/>
              <w:bottom w:w="60" w:type="dxa"/>
              <w:left w:w="100" w:type="dxa"/>
              <w:right w:w="100" w:type="dxa"/>
            </w:tcMar>
          </w:tcPr>
          <w:p>
            <w:r>
              <w:rPr>
                <w:rFonts w:ascii="Consolas" w:hAnsi="Consolas"/>
                <w:b/>
                <w:color w:val="0891B2"/>
                <w:sz w:val="17"/>
              </w:rPr>
              <w:t>/api/checkout/upi</w:t>
            </w:r>
          </w:p>
        </w:tc>
        <w:tc>
          <w:tcPr>
            <w:tcW w:type="dxa" w:w="2520"/>
            <w:shd w:fill="FFFFFF"/>
            <w:tcMar>
              <w:top w:w="60" w:type="dxa"/>
              <w:bottom w:w="60" w:type="dxa"/>
              <w:left w:w="100" w:type="dxa"/>
              <w:right w:w="100" w:type="dxa"/>
            </w:tcMar>
          </w:tcPr>
          <w:p>
            <w:r>
              <w:rPr>
                <w:color w:val="334155"/>
                <w:sz w:val="17"/>
              </w:rPr>
              <w:t>POST</w:t>
            </w:r>
          </w:p>
        </w:tc>
        <w:tc>
          <w:tcPr>
            <w:tcW w:type="dxa" w:w="2520"/>
            <w:shd w:fill="FFFFFF"/>
            <w:tcMar>
              <w:top w:w="60" w:type="dxa"/>
              <w:bottom w:w="60" w:type="dxa"/>
              <w:left w:w="100" w:type="dxa"/>
              <w:right w:w="100" w:type="dxa"/>
            </w:tcMar>
          </w:tcPr>
          <w:p>
            <w:r>
              <w:rPr>
                <w:color w:val="334155"/>
                <w:sz w:val="17"/>
              </w:rPr>
              <w:t>Dynamic</w:t>
            </w:r>
          </w:p>
        </w:tc>
        <w:tc>
          <w:tcPr>
            <w:tcW w:type="dxa" w:w="2520"/>
            <w:shd w:fill="FFFFFF"/>
            <w:tcMar>
              <w:top w:w="60" w:type="dxa"/>
              <w:bottom w:w="60" w:type="dxa"/>
              <w:left w:w="100" w:type="dxa"/>
              <w:right w:w="100" w:type="dxa"/>
            </w:tcMar>
          </w:tcPr>
          <w:p>
            <w:r>
              <w:rPr>
                <w:color w:val="334155"/>
                <w:sz w:val="17"/>
              </w:rPr>
              <w:t>UPI Order &amp; Unique Paise Allocation Engine</w:t>
            </w:r>
          </w:p>
        </w:tc>
      </w:tr>
      <w:tr>
        <w:tc>
          <w:tcPr>
            <w:tcW w:type="dxa" w:w="2520"/>
            <w:shd w:fill="F8FAFC"/>
            <w:tcMar>
              <w:top w:w="60" w:type="dxa"/>
              <w:bottom w:w="60" w:type="dxa"/>
              <w:left w:w="100" w:type="dxa"/>
              <w:right w:w="100" w:type="dxa"/>
            </w:tcMar>
          </w:tcPr>
          <w:p>
            <w:r>
              <w:rPr>
                <w:rFonts w:ascii="Consolas" w:hAnsi="Consolas"/>
                <w:b/>
                <w:color w:val="0891B2"/>
                <w:sz w:val="17"/>
              </w:rPr>
              <w:t>/api/checkout/upi/verify</w:t>
            </w:r>
          </w:p>
        </w:tc>
        <w:tc>
          <w:tcPr>
            <w:tcW w:type="dxa" w:w="2520"/>
            <w:shd w:fill="F8FAFC"/>
            <w:tcMar>
              <w:top w:w="60" w:type="dxa"/>
              <w:bottom w:w="60" w:type="dxa"/>
              <w:left w:w="100" w:type="dxa"/>
              <w:right w:w="100" w:type="dxa"/>
            </w:tcMar>
          </w:tcPr>
          <w:p>
            <w:r>
              <w:rPr>
                <w:color w:val="334155"/>
                <w:sz w:val="17"/>
              </w:rPr>
              <w:t>POST</w:t>
            </w:r>
          </w:p>
        </w:tc>
        <w:tc>
          <w:tcPr>
            <w:tcW w:type="dxa" w:w="2520"/>
            <w:shd w:fill="F8FAFC"/>
            <w:tcMar>
              <w:top w:w="60" w:type="dxa"/>
              <w:bottom w:w="60" w:type="dxa"/>
              <w:left w:w="100" w:type="dxa"/>
              <w:right w:w="100" w:type="dxa"/>
            </w:tcMar>
          </w:tcPr>
          <w:p>
            <w:r>
              <w:rPr>
                <w:color w:val="334155"/>
                <w:sz w:val="17"/>
              </w:rPr>
              <w:t>Dynamic</w:t>
            </w:r>
          </w:p>
        </w:tc>
        <w:tc>
          <w:tcPr>
            <w:tcW w:type="dxa" w:w="2520"/>
            <w:shd w:fill="F8FAFC"/>
            <w:tcMar>
              <w:top w:w="60" w:type="dxa"/>
              <w:bottom w:w="60" w:type="dxa"/>
              <w:left w:w="100" w:type="dxa"/>
              <w:right w:w="100" w:type="dxa"/>
            </w:tcMar>
          </w:tcPr>
          <w:p>
            <w:r>
              <w:rPr>
                <w:color w:val="334155"/>
                <w:sz w:val="17"/>
              </w:rPr>
              <w:t>Manual/Fallback UTR Verification Endpoint</w:t>
            </w:r>
          </w:p>
        </w:tc>
      </w:tr>
      <w:tr>
        <w:tc>
          <w:tcPr>
            <w:tcW w:type="dxa" w:w="2520"/>
            <w:shd w:fill="FFFFFF"/>
            <w:tcMar>
              <w:top w:w="60" w:type="dxa"/>
              <w:bottom w:w="60" w:type="dxa"/>
              <w:left w:w="100" w:type="dxa"/>
              <w:right w:w="100" w:type="dxa"/>
            </w:tcMar>
          </w:tcPr>
          <w:p>
            <w:r>
              <w:rPr>
                <w:rFonts w:ascii="Consolas" w:hAnsi="Consolas"/>
                <w:b/>
                <w:color w:val="0891B2"/>
                <w:sz w:val="17"/>
              </w:rPr>
              <w:t>/api/checkout/paypal</w:t>
            </w:r>
          </w:p>
        </w:tc>
        <w:tc>
          <w:tcPr>
            <w:tcW w:type="dxa" w:w="2520"/>
            <w:shd w:fill="FFFFFF"/>
            <w:tcMar>
              <w:top w:w="60" w:type="dxa"/>
              <w:bottom w:w="60" w:type="dxa"/>
              <w:left w:w="100" w:type="dxa"/>
              <w:right w:w="100" w:type="dxa"/>
            </w:tcMar>
          </w:tcPr>
          <w:p>
            <w:r>
              <w:rPr>
                <w:color w:val="334155"/>
                <w:sz w:val="17"/>
              </w:rPr>
              <w:t>POST</w:t>
            </w:r>
          </w:p>
        </w:tc>
        <w:tc>
          <w:tcPr>
            <w:tcW w:type="dxa" w:w="2520"/>
            <w:shd w:fill="FFFFFF"/>
            <w:tcMar>
              <w:top w:w="60" w:type="dxa"/>
              <w:bottom w:w="60" w:type="dxa"/>
              <w:left w:w="100" w:type="dxa"/>
              <w:right w:w="100" w:type="dxa"/>
            </w:tcMar>
          </w:tcPr>
          <w:p>
            <w:r>
              <w:rPr>
                <w:color w:val="334155"/>
                <w:sz w:val="17"/>
              </w:rPr>
              <w:t>Dynamic</w:t>
            </w:r>
          </w:p>
        </w:tc>
        <w:tc>
          <w:tcPr>
            <w:tcW w:type="dxa" w:w="2520"/>
            <w:shd w:fill="FFFFFF"/>
            <w:tcMar>
              <w:top w:w="60" w:type="dxa"/>
              <w:bottom w:w="60" w:type="dxa"/>
              <w:left w:w="100" w:type="dxa"/>
              <w:right w:w="100" w:type="dxa"/>
            </w:tcMar>
          </w:tcPr>
          <w:p>
            <w:r>
              <w:rPr>
                <w:color w:val="334155"/>
                <w:sz w:val="17"/>
              </w:rPr>
              <w:t>PayPal Order &amp; Prefilled URL Generator</w:t>
            </w:r>
          </w:p>
        </w:tc>
      </w:tr>
      <w:tr>
        <w:tc>
          <w:tcPr>
            <w:tcW w:type="dxa" w:w="2520"/>
            <w:shd w:fill="F8FAFC"/>
            <w:tcMar>
              <w:top w:w="60" w:type="dxa"/>
              <w:bottom w:w="60" w:type="dxa"/>
              <w:left w:w="100" w:type="dxa"/>
              <w:right w:w="100" w:type="dxa"/>
            </w:tcMar>
          </w:tcPr>
          <w:p>
            <w:r>
              <w:rPr>
                <w:rFonts w:ascii="Consolas" w:hAnsi="Consolas"/>
                <w:b/>
                <w:color w:val="0891B2"/>
                <w:sz w:val="17"/>
              </w:rPr>
              <w:t>/api/checkout/paypal/verify</w:t>
            </w:r>
          </w:p>
        </w:tc>
        <w:tc>
          <w:tcPr>
            <w:tcW w:type="dxa" w:w="2520"/>
            <w:shd w:fill="F8FAFC"/>
            <w:tcMar>
              <w:top w:w="60" w:type="dxa"/>
              <w:bottom w:w="60" w:type="dxa"/>
              <w:left w:w="100" w:type="dxa"/>
              <w:right w:w="100" w:type="dxa"/>
            </w:tcMar>
          </w:tcPr>
          <w:p>
            <w:r>
              <w:rPr>
                <w:color w:val="334155"/>
                <w:sz w:val="17"/>
              </w:rPr>
              <w:t>POST</w:t>
            </w:r>
          </w:p>
        </w:tc>
        <w:tc>
          <w:tcPr>
            <w:tcW w:type="dxa" w:w="2520"/>
            <w:shd w:fill="F8FAFC"/>
            <w:tcMar>
              <w:top w:w="60" w:type="dxa"/>
              <w:bottom w:w="60" w:type="dxa"/>
              <w:left w:w="100" w:type="dxa"/>
              <w:right w:w="100" w:type="dxa"/>
            </w:tcMar>
          </w:tcPr>
          <w:p>
            <w:r>
              <w:rPr>
                <w:color w:val="334155"/>
                <w:sz w:val="17"/>
              </w:rPr>
              <w:t>Dynamic</w:t>
            </w:r>
          </w:p>
        </w:tc>
        <w:tc>
          <w:tcPr>
            <w:tcW w:type="dxa" w:w="2520"/>
            <w:shd w:fill="F8FAFC"/>
            <w:tcMar>
              <w:top w:w="60" w:type="dxa"/>
              <w:bottom w:w="60" w:type="dxa"/>
              <w:left w:w="100" w:type="dxa"/>
              <w:right w:w="100" w:type="dxa"/>
            </w:tcMar>
          </w:tcPr>
          <w:p>
            <w:r>
              <w:rPr>
                <w:color w:val="334155"/>
                <w:sz w:val="17"/>
              </w:rPr>
              <w:t>PayPal Transaction ID Verification</w:t>
            </w:r>
          </w:p>
        </w:tc>
      </w:tr>
      <w:tr>
        <w:tc>
          <w:tcPr>
            <w:tcW w:type="dxa" w:w="2520"/>
            <w:shd w:fill="FFFFFF"/>
            <w:tcMar>
              <w:top w:w="60" w:type="dxa"/>
              <w:bottom w:w="60" w:type="dxa"/>
              <w:left w:w="100" w:type="dxa"/>
              <w:right w:w="100" w:type="dxa"/>
            </w:tcMar>
          </w:tcPr>
          <w:p>
            <w:r>
              <w:rPr>
                <w:rFonts w:ascii="Consolas" w:hAnsi="Consolas"/>
                <w:b/>
                <w:color w:val="0891B2"/>
                <w:sz w:val="17"/>
              </w:rPr>
              <w:t>/api/webhooks/upi</w:t>
            </w:r>
          </w:p>
        </w:tc>
        <w:tc>
          <w:tcPr>
            <w:tcW w:type="dxa" w:w="2520"/>
            <w:shd w:fill="FFFFFF"/>
            <w:tcMar>
              <w:top w:w="60" w:type="dxa"/>
              <w:bottom w:w="60" w:type="dxa"/>
              <w:left w:w="100" w:type="dxa"/>
              <w:right w:w="100" w:type="dxa"/>
            </w:tcMar>
          </w:tcPr>
          <w:p>
            <w:r>
              <w:rPr>
                <w:color w:val="334155"/>
                <w:sz w:val="17"/>
              </w:rPr>
              <w:t>POST</w:t>
            </w:r>
          </w:p>
        </w:tc>
        <w:tc>
          <w:tcPr>
            <w:tcW w:type="dxa" w:w="2520"/>
            <w:shd w:fill="FFFFFF"/>
            <w:tcMar>
              <w:top w:w="60" w:type="dxa"/>
              <w:bottom w:w="60" w:type="dxa"/>
              <w:left w:w="100" w:type="dxa"/>
              <w:right w:w="100" w:type="dxa"/>
            </w:tcMar>
          </w:tcPr>
          <w:p>
            <w:r>
              <w:rPr>
                <w:color w:val="334155"/>
                <w:sz w:val="17"/>
              </w:rPr>
              <w:t>Dynamic</w:t>
            </w:r>
          </w:p>
        </w:tc>
        <w:tc>
          <w:tcPr>
            <w:tcW w:type="dxa" w:w="2520"/>
            <w:shd w:fill="FFFFFF"/>
            <w:tcMar>
              <w:top w:w="60" w:type="dxa"/>
              <w:bottom w:w="60" w:type="dxa"/>
              <w:left w:w="100" w:type="dxa"/>
              <w:right w:w="100" w:type="dxa"/>
            </w:tcMar>
          </w:tcPr>
          <w:p>
            <w:r>
              <w:rPr>
                <w:color w:val="334155"/>
                <w:sz w:val="17"/>
              </w:rPr>
              <w:t>Bank SMS Forwarder Automated Matching Webhook</w:t>
            </w:r>
          </w:p>
        </w:tc>
      </w:tr>
      <w:tr>
        <w:tc>
          <w:tcPr>
            <w:tcW w:type="dxa" w:w="2520"/>
            <w:shd w:fill="F8FAFC"/>
            <w:tcMar>
              <w:top w:w="60" w:type="dxa"/>
              <w:bottom w:w="60" w:type="dxa"/>
              <w:left w:w="100" w:type="dxa"/>
              <w:right w:w="100" w:type="dxa"/>
            </w:tcMar>
          </w:tcPr>
          <w:p>
            <w:r>
              <w:rPr>
                <w:rFonts w:ascii="Consolas" w:hAnsi="Consolas"/>
                <w:b/>
                <w:color w:val="0891B2"/>
                <w:sz w:val="17"/>
              </w:rPr>
              <w:t>/api/order/[orderId]</w:t>
            </w:r>
          </w:p>
        </w:tc>
        <w:tc>
          <w:tcPr>
            <w:tcW w:type="dxa" w:w="2520"/>
            <w:shd w:fill="F8FAFC"/>
            <w:tcMar>
              <w:top w:w="60" w:type="dxa"/>
              <w:bottom w:w="60" w:type="dxa"/>
              <w:left w:w="100" w:type="dxa"/>
              <w:right w:w="100" w:type="dxa"/>
            </w:tcMar>
          </w:tcPr>
          <w:p>
            <w:r>
              <w:rPr>
                <w:color w:val="334155"/>
                <w:sz w:val="17"/>
              </w:rPr>
              <w:t>GET</w:t>
            </w:r>
          </w:p>
        </w:tc>
        <w:tc>
          <w:tcPr>
            <w:tcW w:type="dxa" w:w="2520"/>
            <w:shd w:fill="F8FAFC"/>
            <w:tcMar>
              <w:top w:w="60" w:type="dxa"/>
              <w:bottom w:w="60" w:type="dxa"/>
              <w:left w:w="100" w:type="dxa"/>
              <w:right w:w="100" w:type="dxa"/>
            </w:tcMar>
          </w:tcPr>
          <w:p>
            <w:r>
              <w:rPr>
                <w:color w:val="334155"/>
                <w:sz w:val="17"/>
              </w:rPr>
              <w:t>Dynamic</w:t>
            </w:r>
          </w:p>
        </w:tc>
        <w:tc>
          <w:tcPr>
            <w:tcW w:type="dxa" w:w="2520"/>
            <w:shd w:fill="F8FAFC"/>
            <w:tcMar>
              <w:top w:w="60" w:type="dxa"/>
              <w:bottom w:w="60" w:type="dxa"/>
              <w:left w:w="100" w:type="dxa"/>
              <w:right w:w="100" w:type="dxa"/>
            </w:tcMar>
          </w:tcPr>
          <w:p>
            <w:r>
              <w:rPr>
                <w:color w:val="334155"/>
                <w:sz w:val="17"/>
              </w:rPr>
              <w:t>Client Polling Endpoint for Instant Payment Detection</w:t>
            </w:r>
          </w:p>
        </w:tc>
      </w:tr>
      <w:tr>
        <w:tc>
          <w:tcPr>
            <w:tcW w:type="dxa" w:w="2520"/>
            <w:shd w:fill="FFFFFF"/>
            <w:tcMar>
              <w:top w:w="60" w:type="dxa"/>
              <w:bottom w:w="60" w:type="dxa"/>
              <w:left w:w="100" w:type="dxa"/>
              <w:right w:w="100" w:type="dxa"/>
            </w:tcMar>
          </w:tcPr>
          <w:p>
            <w:r>
              <w:rPr>
                <w:rFonts w:ascii="Consolas" w:hAnsi="Consolas"/>
                <w:b/>
                <w:color w:val="0891B2"/>
                <w:sz w:val="17"/>
              </w:rPr>
              <w:t>/api/admin/keys</w:t>
            </w:r>
          </w:p>
        </w:tc>
        <w:tc>
          <w:tcPr>
            <w:tcW w:type="dxa" w:w="2520"/>
            <w:shd w:fill="FFFFFF"/>
            <w:tcMar>
              <w:top w:w="60" w:type="dxa"/>
              <w:bottom w:w="60" w:type="dxa"/>
              <w:left w:w="100" w:type="dxa"/>
              <w:right w:w="100" w:type="dxa"/>
            </w:tcMar>
          </w:tcPr>
          <w:p>
            <w:r>
              <w:rPr>
                <w:color w:val="334155"/>
                <w:sz w:val="17"/>
              </w:rPr>
              <w:t>POST</w:t>
            </w:r>
          </w:p>
        </w:tc>
        <w:tc>
          <w:tcPr>
            <w:tcW w:type="dxa" w:w="2520"/>
            <w:shd w:fill="FFFFFF"/>
            <w:tcMar>
              <w:top w:w="60" w:type="dxa"/>
              <w:bottom w:w="60" w:type="dxa"/>
              <w:left w:w="100" w:type="dxa"/>
              <w:right w:w="100" w:type="dxa"/>
            </w:tcMar>
          </w:tcPr>
          <w:p>
            <w:r>
              <w:rPr>
                <w:color w:val="334155"/>
                <w:sz w:val="17"/>
              </w:rPr>
              <w:t>Dynamic</w:t>
            </w:r>
          </w:p>
        </w:tc>
        <w:tc>
          <w:tcPr>
            <w:tcW w:type="dxa" w:w="2520"/>
            <w:shd w:fill="FFFFFF"/>
            <w:tcMar>
              <w:top w:w="60" w:type="dxa"/>
              <w:bottom w:w="60" w:type="dxa"/>
              <w:left w:w="100" w:type="dxa"/>
              <w:right w:w="100" w:type="dxa"/>
            </w:tcMar>
          </w:tcPr>
          <w:p>
            <w:r>
              <w:rPr>
                <w:color w:val="334155"/>
                <w:sz w:val="17"/>
              </w:rPr>
              <w:t>AES-256-GCM Bulk Key Encryption &amp; Ingestion</w:t>
            </w:r>
          </w:p>
        </w:tc>
      </w:tr>
      <w:tr>
        <w:tc>
          <w:tcPr>
            <w:tcW w:type="dxa" w:w="2520"/>
            <w:shd w:fill="F8FAFC"/>
            <w:tcMar>
              <w:top w:w="60" w:type="dxa"/>
              <w:bottom w:w="60" w:type="dxa"/>
              <w:left w:w="100" w:type="dxa"/>
              <w:right w:w="100" w:type="dxa"/>
            </w:tcMar>
          </w:tcPr>
          <w:p>
            <w:r>
              <w:rPr>
                <w:rFonts w:ascii="Consolas" w:hAnsi="Consolas"/>
                <w:b/>
                <w:color w:val="0891B2"/>
                <w:sz w:val="17"/>
              </w:rPr>
              <w:t>/api/admin/stats</w:t>
            </w:r>
          </w:p>
        </w:tc>
        <w:tc>
          <w:tcPr>
            <w:tcW w:type="dxa" w:w="2520"/>
            <w:shd w:fill="F8FAFC"/>
            <w:tcMar>
              <w:top w:w="60" w:type="dxa"/>
              <w:bottom w:w="60" w:type="dxa"/>
              <w:left w:w="100" w:type="dxa"/>
              <w:right w:w="100" w:type="dxa"/>
            </w:tcMar>
          </w:tcPr>
          <w:p>
            <w:r>
              <w:rPr>
                <w:color w:val="334155"/>
                <w:sz w:val="17"/>
              </w:rPr>
              <w:t>GET</w:t>
            </w:r>
          </w:p>
        </w:tc>
        <w:tc>
          <w:tcPr>
            <w:tcW w:type="dxa" w:w="2520"/>
            <w:shd w:fill="F8FAFC"/>
            <w:tcMar>
              <w:top w:w="60" w:type="dxa"/>
              <w:bottom w:w="60" w:type="dxa"/>
              <w:left w:w="100" w:type="dxa"/>
              <w:right w:w="100" w:type="dxa"/>
            </w:tcMar>
          </w:tcPr>
          <w:p>
            <w:r>
              <w:rPr>
                <w:color w:val="334155"/>
                <w:sz w:val="17"/>
              </w:rPr>
              <w:t>Dynamic</w:t>
            </w:r>
          </w:p>
        </w:tc>
        <w:tc>
          <w:tcPr>
            <w:tcW w:type="dxa" w:w="2520"/>
            <w:shd w:fill="F8FAFC"/>
            <w:tcMar>
              <w:top w:w="60" w:type="dxa"/>
              <w:bottom w:w="60" w:type="dxa"/>
              <w:left w:w="100" w:type="dxa"/>
              <w:right w:w="100" w:type="dxa"/>
            </w:tcMar>
          </w:tcPr>
          <w:p>
            <w:r>
              <w:rPr>
                <w:color w:val="334155"/>
                <w:sz w:val="17"/>
              </w:rPr>
              <w:t>Financial, Waitlist &amp; Vault Inventory Analytics</w:t>
            </w:r>
          </w:p>
        </w:tc>
      </w:tr>
    </w:tbl>
    <w:p>
      <w:pPr>
        <w:spacing w:after="240"/>
      </w:pPr>
    </w:p>
    <w:p>
      <w:pPr>
        <w:jc w:val="center"/>
      </w:pPr>
      <w:r>
        <w:rPr>
          <w:i/>
          <w:color w:val="94A3B8"/>
          <w:sz w:val="17"/>
        </w:rPr>
        <w:t>AETHERIA Systems • Official Documentation • Built with Next.js 14 &amp; GSAP 3</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