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0F172A"/>
          <w:sz w:val="48"/>
        </w:rPr>
        <w:t>AETHERIA — PGSharp Digital Storefront</w:t>
      </w:r>
    </w:p>
    <w:p>
      <w:pPr>
        <w:spacing w:before="0" w:after="240"/>
      </w:pPr>
      <w:r>
        <w:rPr>
          <w:rFonts w:ascii="Segoe UI" w:hAnsi="Segoe UI"/>
          <w:b/>
          <w:color w:val="06B6D4"/>
          <w:sz w:val="24"/>
        </w:rPr>
        <w:t>Comprehensive Technical, Architectural &amp; Multi-Device Responsive Operations Manual</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Mar>
              <w:top w:w="120" w:type="dxa"/>
              <w:bottom w:w="120" w:type="dxa"/>
              <w:left w:w="150" w:type="dxa"/>
              <w:right w:w="150" w:type="dxa"/>
            </w:tcMar>
          </w:tcPr>
          <w:p>
            <w:pPr>
              <w:jc w:val="center"/>
            </w:pPr>
            <w:r>
              <w:rPr>
                <w:b/>
                <w:color w:val="94A3B8"/>
                <w:sz w:val="15"/>
              </w:rPr>
              <w:t>DOCUMENT VERSION</w:t>
              <w:br/>
            </w:r>
            <w:r>
              <w:rPr>
                <w:b/>
                <w:color w:val="06B6D4"/>
                <w:sz w:val="17"/>
              </w:rPr>
              <w:t>1.6.0 Production</w:t>
            </w:r>
          </w:p>
        </w:tc>
        <w:tc>
          <w:tcPr>
            <w:tcW w:type="dxa" w:w="2484"/>
            <w:shd w:fill="0F172A"/>
            <w:tcMar>
              <w:top w:w="120" w:type="dxa"/>
              <w:bottom w:w="120" w:type="dxa"/>
              <w:left w:w="150" w:type="dxa"/>
              <w:right w:w="150" w:type="dxa"/>
            </w:tcMar>
          </w:tcPr>
          <w:p>
            <w:pPr>
              <w:jc w:val="center"/>
            </w:pPr>
            <w:r>
              <w:rPr>
                <w:b/>
                <w:color w:val="94A3B8"/>
                <w:sz w:val="15"/>
              </w:rPr>
              <w:t>RESPONSIVENESS</w:t>
              <w:br/>
            </w:r>
            <w:r>
              <w:rPr>
                <w:b/>
                <w:color w:val="06B6D4"/>
                <w:sz w:val="17"/>
              </w:rPr>
              <w:t>Mobile, Tablet, Desktop (320px–4K)</w:t>
            </w:r>
          </w:p>
        </w:tc>
        <w:tc>
          <w:tcPr>
            <w:tcW w:type="dxa" w:w="2484"/>
            <w:shd w:fill="0F172A"/>
            <w:tcMar>
              <w:top w:w="120" w:type="dxa"/>
              <w:bottom w:w="120" w:type="dxa"/>
              <w:left w:w="150" w:type="dxa"/>
              <w:right w:w="150" w:type="dxa"/>
            </w:tcMar>
          </w:tcPr>
          <w:p>
            <w:pPr>
              <w:jc w:val="center"/>
            </w:pPr>
            <w:r>
              <w:rPr>
                <w:b/>
                <w:color w:val="94A3B8"/>
                <w:sz w:val="15"/>
              </w:rPr>
              <w:t>ACTIVE PRICING</w:t>
              <w:br/>
            </w:r>
            <w:r>
              <w:rPr>
                <w:b/>
                <w:color w:val="06B6D4"/>
                <w:sz w:val="17"/>
              </w:rPr>
              <w:t>₹180 ($1.99) / ₹350 ($3.50)</w:t>
            </w:r>
          </w:p>
        </w:tc>
        <w:tc>
          <w:tcPr>
            <w:tcW w:type="dxa" w:w="2484"/>
            <w:shd w:fill="0F172A"/>
            <w:tcMar>
              <w:top w:w="120" w:type="dxa"/>
              <w:bottom w:w="120" w:type="dxa"/>
              <w:left w:w="150" w:type="dxa"/>
              <w:right w:w="150" w:type="dxa"/>
            </w:tcMar>
          </w:tcPr>
          <w:p>
            <w:pPr>
              <w:jc w:val="center"/>
            </w:pPr>
            <w:r>
              <w:rPr>
                <w:b/>
                <w:color w:val="94A3B8"/>
                <w:sz w:val="15"/>
              </w:rPr>
              <w:t>LAST UPDATED</w:t>
              <w:br/>
            </w:r>
            <w:r>
              <w:rPr>
                <w:b/>
                <w:color w:val="06B6D4"/>
                <w:sz w:val="17"/>
              </w:rPr>
              <w:t>September 2026</w:t>
            </w:r>
          </w:p>
        </w:tc>
      </w:tr>
    </w:tbl>
    <w:p>
      <w:pPr>
        <w:spacing w:after="160"/>
      </w:pPr>
    </w:p>
    <w:p>
      <w:pPr>
        <w:keepNext/>
        <w:spacing w:before="320" w:after="120"/>
      </w:pPr>
      <w:r>
        <w:rPr>
          <w:rFonts w:ascii="Segoe UI" w:hAnsi="Segoe UI"/>
          <w:b/>
          <w:color w:val="0F172A"/>
          <w:sz w:val="28"/>
        </w:rPr>
        <w:t>1. Executive Summary &amp; Platform Overview</w:t>
      </w:r>
    </w:p>
    <w:p>
      <w:pPr>
        <w:spacing w:before="40" w:after="120"/>
      </w:pPr>
      <w:r>
        <w:rPr>
          <w:color w:val="1E293B"/>
        </w:rPr>
        <w:t>AETHERIA (aetheria-store) is a high-performance, institutional-grade digital storefront and automated license key fulfillment ecosystem engineered specifically for official PGSharp Standard Edition key distribution. It integrates luxury dark-mode aesthetics (Obsidian Glassmorphism, Neon Cyan, Emerald accents) with an interactive 550vh video scrollytelling runway, dual-rail automated checkout, dynamic bundle discount pricing, cryptographic key management, customer self-service vault, real-time Discord administrative backup dispatch, and a zero-latency customer fulfillment portal.</w:t>
      </w:r>
    </w:p>
    <w:p>
      <w:pPr>
        <w:pStyle w:val="ListBullet"/>
        <w:spacing w:before="40" w:after="40"/>
      </w:pPr>
      <w:r>
        <w:rPr>
          <w:b/>
          <w:color w:val="0F172A"/>
        </w:rPr>
        <w:t xml:space="preserve">Universal Multi-Device Architecture: </w:t>
      </w:r>
      <w:r>
        <w:rPr>
          <w:color w:val="1E293B"/>
        </w:rPr>
        <w:t>Engineered with tailored CSS media queries and fluid Tailwind breakpoints (320px small mobile, 390px modern smartphones, 768px tablets/iPads, and 1280px+ ultra-wide desktop monitors).</w:t>
      </w:r>
    </w:p>
    <w:p>
      <w:pPr>
        <w:pStyle w:val="ListBullet"/>
        <w:spacing w:before="40" w:after="40"/>
      </w:pPr>
      <w:r>
        <w:rPr>
          <w:b/>
          <w:color w:val="0F172A"/>
        </w:rPr>
        <w:t xml:space="preserve">Technology Stack: </w:t>
      </w:r>
      <w:r>
        <w:rPr>
          <w:color w:val="1E293B"/>
        </w:rPr>
        <w:t>Next.js 14 App Router, TypeScript, Tailwind CSS, GSAP 3 (ScrollTrigger), HTML5 Canvas Particle Engine, Firebase Firestore / Admin SDK, Firebase Auth (Google &amp; Email), Resend Email API, Discord Webhook Notifications, Razorpay UPI, and PayPal v2 Checkout API.</w:t>
      </w:r>
    </w:p>
    <w:p>
      <w:pPr>
        <w:keepNext/>
        <w:spacing w:before="320" w:after="120"/>
      </w:pPr>
      <w:r>
        <w:rPr>
          <w:rFonts w:ascii="Segoe UI" w:hAnsi="Segoe UI"/>
          <w:b/>
          <w:color w:val="0F172A"/>
          <w:sz w:val="28"/>
        </w:rPr>
        <w:t>2. Multi-Device Responsive Engine &amp; Breakpoint Architecture</w:t>
      </w:r>
    </w:p>
    <w:p>
      <w:pPr>
        <w:spacing w:before="40" w:after="120"/>
      </w:pPr>
      <w:r>
        <w:rPr>
          <w:color w:val="1E293B"/>
        </w:rPr>
        <w:t>AETHERIA implements a fluid responsive system guaranteeing 100% video visibility, zero visual overlap, and optimal touch targets across all device categories:</w:t>
      </w:r>
    </w:p>
    <w:tbl>
      <w:tblPr>
        <w:tblW w:type="auto" w:w="0"/>
        <w:jc w:val="center"/>
        <w:tblLook w:firstColumn="1" w:firstRow="1" w:lastColumn="0" w:lastRow="0" w:noHBand="0" w:noVBand="1" w:val="04A0"/>
      </w:tblPr>
      <w:tblGrid>
        <w:gridCol w:w="3312"/>
        <w:gridCol w:w="3312"/>
        <w:gridCol w:w="3312"/>
      </w:tblGrid>
      <w:tr>
        <w:tc>
          <w:tcPr>
            <w:tcW w:type="dxa" w:w="3312"/>
            <w:shd w:fill="1E293B"/>
            <w:tcMar>
              <w:top w:w="100" w:type="dxa"/>
              <w:bottom w:w="100" w:type="dxa"/>
              <w:left w:w="120" w:type="dxa"/>
              <w:right w:w="120" w:type="dxa"/>
            </w:tcMar>
          </w:tcPr>
          <w:p>
            <w:r>
              <w:rPr>
                <w:b/>
                <w:color w:val="FFFFFF"/>
                <w:sz w:val="17"/>
              </w:rPr>
              <w:t>Device Category</w:t>
            </w:r>
          </w:p>
        </w:tc>
        <w:tc>
          <w:tcPr>
            <w:tcW w:type="dxa" w:w="3312"/>
            <w:shd w:fill="1E293B"/>
            <w:tcMar>
              <w:top w:w="100" w:type="dxa"/>
              <w:bottom w:w="100" w:type="dxa"/>
              <w:left w:w="120" w:type="dxa"/>
              <w:right w:w="120" w:type="dxa"/>
            </w:tcMar>
          </w:tcPr>
          <w:p>
            <w:r>
              <w:rPr>
                <w:b/>
                <w:color w:val="FFFFFF"/>
                <w:sz w:val="17"/>
              </w:rPr>
              <w:t>Screen Width Range</w:t>
            </w:r>
          </w:p>
        </w:tc>
        <w:tc>
          <w:tcPr>
            <w:tcW w:type="dxa" w:w="3312"/>
            <w:shd w:fill="1E293B"/>
            <w:tcMar>
              <w:top w:w="100" w:type="dxa"/>
              <w:bottom w:w="100" w:type="dxa"/>
              <w:left w:w="120" w:type="dxa"/>
              <w:right w:w="120" w:type="dxa"/>
            </w:tcMar>
          </w:tcPr>
          <w:p>
            <w:r>
              <w:rPr>
                <w:b/>
                <w:color w:val="FFFFFF"/>
                <w:sz w:val="17"/>
              </w:rPr>
              <w:t>Tailored Responsive Experience</w:t>
            </w:r>
          </w:p>
        </w:tc>
      </w:tr>
      <w:tr>
        <w:tc>
          <w:tcPr>
            <w:tcW w:type="dxa" w:w="3312"/>
            <w:shd w:fill="F8FAFC"/>
            <w:tcMar>
              <w:top w:w="80" w:type="dxa"/>
              <w:bottom w:w="80" w:type="dxa"/>
              <w:left w:w="100" w:type="dxa"/>
              <w:right w:w="100" w:type="dxa"/>
            </w:tcMar>
          </w:tcPr>
          <w:p>
            <w:r>
              <w:rPr>
                <w:color w:val="1E293B"/>
                <w:sz w:val="16"/>
              </w:rPr>
              <w:t>Small Mobile</w:t>
            </w:r>
          </w:p>
        </w:tc>
        <w:tc>
          <w:tcPr>
            <w:tcW w:type="dxa" w:w="3312"/>
            <w:shd w:fill="F8FAFC"/>
            <w:tcMar>
              <w:top w:w="80" w:type="dxa"/>
              <w:bottom w:w="80" w:type="dxa"/>
              <w:left w:w="100" w:type="dxa"/>
              <w:right w:w="100" w:type="dxa"/>
            </w:tcMar>
          </w:tcPr>
          <w:p>
            <w:r>
              <w:rPr>
                <w:color w:val="1E293B"/>
                <w:sz w:val="16"/>
              </w:rPr>
              <w:t>320px – 375px (iPhone SE, Galaxy A)</w:t>
            </w:r>
          </w:p>
        </w:tc>
        <w:tc>
          <w:tcPr>
            <w:tcW w:type="dxa" w:w="3312"/>
            <w:shd w:fill="F8FAFC"/>
            <w:tcMar>
              <w:top w:w="80" w:type="dxa"/>
              <w:bottom w:w="80" w:type="dxa"/>
              <w:left w:w="100" w:type="dxa"/>
              <w:right w:w="100" w:type="dxa"/>
            </w:tcMar>
          </w:tcPr>
          <w:p>
            <w:r>
              <w:rPr>
                <w:color w:val="1E293B"/>
                <w:sz w:val="16"/>
              </w:rPr>
              <w:t>Compact header (Logo + My Keys + Menu), text-3xl titles, side-by-side compact pricing cards (120px height), dock auto-compacted.</w:t>
            </w:r>
          </w:p>
        </w:tc>
      </w:tr>
      <w:tr>
        <w:tc>
          <w:tcPr>
            <w:tcW w:type="dxa" w:w="3312"/>
            <w:shd w:fill="FFFFFF"/>
            <w:tcMar>
              <w:top w:w="80" w:type="dxa"/>
              <w:bottom w:w="80" w:type="dxa"/>
              <w:left w:w="100" w:type="dxa"/>
              <w:right w:w="100" w:type="dxa"/>
            </w:tcMar>
          </w:tcPr>
          <w:p>
            <w:r>
              <w:rPr>
                <w:color w:val="1E293B"/>
                <w:sz w:val="16"/>
              </w:rPr>
              <w:t>Modern Smartphones</w:t>
            </w:r>
          </w:p>
        </w:tc>
        <w:tc>
          <w:tcPr>
            <w:tcW w:type="dxa" w:w="3312"/>
            <w:shd w:fill="FFFFFF"/>
            <w:tcMar>
              <w:top w:w="80" w:type="dxa"/>
              <w:bottom w:w="80" w:type="dxa"/>
              <w:left w:w="100" w:type="dxa"/>
              <w:right w:w="100" w:type="dxa"/>
            </w:tcMar>
          </w:tcPr>
          <w:p>
            <w:r>
              <w:rPr>
                <w:color w:val="1E293B"/>
                <w:sz w:val="16"/>
              </w:rPr>
              <w:t>375px – 430px (iPhone 14/15/16, Xiaomi, Pixel)</w:t>
            </w:r>
          </w:p>
        </w:tc>
        <w:tc>
          <w:tcPr>
            <w:tcW w:type="dxa" w:w="3312"/>
            <w:shd w:fill="FFFFFF"/>
            <w:tcMar>
              <w:top w:w="80" w:type="dxa"/>
              <w:bottom w:w="80" w:type="dxa"/>
              <w:left w:w="100" w:type="dxa"/>
              <w:right w:w="100" w:type="dxa"/>
            </w:tcMar>
          </w:tcPr>
          <w:p>
            <w:r>
              <w:rPr>
                <w:color w:val="1E293B"/>
                <w:sz w:val="16"/>
              </w:rPr>
              <w:t>Side-by-side symmetrical dual cards, full background video clarity, perfectly balanced touch targets, zero overlap with FAQ toggle.</w:t>
            </w:r>
          </w:p>
        </w:tc>
      </w:tr>
      <w:tr>
        <w:tc>
          <w:tcPr>
            <w:tcW w:type="dxa" w:w="3312"/>
            <w:shd w:fill="F8FAFC"/>
            <w:tcMar>
              <w:top w:w="80" w:type="dxa"/>
              <w:bottom w:w="80" w:type="dxa"/>
              <w:left w:w="100" w:type="dxa"/>
              <w:right w:w="100" w:type="dxa"/>
            </w:tcMar>
          </w:tcPr>
          <w:p>
            <w:r>
              <w:rPr>
                <w:color w:val="1E293B"/>
                <w:sz w:val="16"/>
              </w:rPr>
              <w:t>Tablets &amp; Foldables</w:t>
            </w:r>
          </w:p>
        </w:tc>
        <w:tc>
          <w:tcPr>
            <w:tcW w:type="dxa" w:w="3312"/>
            <w:shd w:fill="F8FAFC"/>
            <w:tcMar>
              <w:top w:w="80" w:type="dxa"/>
              <w:bottom w:w="80" w:type="dxa"/>
              <w:left w:w="100" w:type="dxa"/>
              <w:right w:w="100" w:type="dxa"/>
            </w:tcMar>
          </w:tcPr>
          <w:p>
            <w:r>
              <w:rPr>
                <w:color w:val="1E293B"/>
                <w:sz w:val="16"/>
              </w:rPr>
              <w:t>768px – 1024px (iPad Mini, iPad Pro, Galaxy Tab)</w:t>
            </w:r>
          </w:p>
        </w:tc>
        <w:tc>
          <w:tcPr>
            <w:tcW w:type="dxa" w:w="3312"/>
            <w:shd w:fill="F8FAFC"/>
            <w:tcMar>
              <w:top w:w="80" w:type="dxa"/>
              <w:bottom w:w="80" w:type="dxa"/>
              <w:left w:w="100" w:type="dxa"/>
              <w:right w:w="100" w:type="dxa"/>
            </w:tcMar>
          </w:tcPr>
          <w:p>
            <w:r>
              <w:rPr>
                <w:color w:val="1E293B"/>
                <w:sz w:val="16"/>
              </w:rPr>
              <w:t>Wide dual-column layout, expanded typography (text-5xl), full navigation tabs, and comfortable finger-friendly buttons.</w:t>
            </w:r>
          </w:p>
        </w:tc>
      </w:tr>
      <w:tr>
        <w:tc>
          <w:tcPr>
            <w:tcW w:type="dxa" w:w="3312"/>
            <w:shd w:fill="FFFFFF"/>
            <w:tcMar>
              <w:top w:w="80" w:type="dxa"/>
              <w:bottom w:w="80" w:type="dxa"/>
              <w:left w:w="100" w:type="dxa"/>
              <w:right w:w="100" w:type="dxa"/>
            </w:tcMar>
          </w:tcPr>
          <w:p>
            <w:r>
              <w:rPr>
                <w:color w:val="1E293B"/>
                <w:sz w:val="16"/>
              </w:rPr>
              <w:t>Desktop &amp; Ultrawide</w:t>
            </w:r>
          </w:p>
        </w:tc>
        <w:tc>
          <w:tcPr>
            <w:tcW w:type="dxa" w:w="3312"/>
            <w:shd w:fill="FFFFFF"/>
            <w:tcMar>
              <w:top w:w="80" w:type="dxa"/>
              <w:bottom w:w="80" w:type="dxa"/>
              <w:left w:w="100" w:type="dxa"/>
              <w:right w:w="100" w:type="dxa"/>
            </w:tcMar>
          </w:tcPr>
          <w:p>
            <w:r>
              <w:rPr>
                <w:color w:val="1E293B"/>
                <w:sz w:val="16"/>
              </w:rPr>
              <w:t>1280px to 4K (Monitors, MacBooks)</w:t>
            </w:r>
          </w:p>
        </w:tc>
        <w:tc>
          <w:tcPr>
            <w:tcW w:type="dxa" w:w="3312"/>
            <w:shd w:fill="FFFFFF"/>
            <w:tcMar>
              <w:top w:w="80" w:type="dxa"/>
              <w:bottom w:w="80" w:type="dxa"/>
              <w:left w:w="100" w:type="dxa"/>
              <w:right w:w="100" w:type="dxa"/>
            </w:tcMar>
          </w:tcPr>
          <w:p>
            <w:r>
              <w:rPr>
                <w:color w:val="1E293B"/>
                <w:sz w:val="16"/>
              </w:rPr>
              <w:t>Flagship cinematic layout with bottom-left HUD editorial typography (text-7xl) and bottom-right obsidian glass pricing cards.</w:t>
            </w:r>
          </w:p>
        </w:tc>
      </w:tr>
    </w:tbl>
    <w:p>
      <w:pPr>
        <w:spacing w:after="120"/>
      </w:pPr>
    </w:p>
    <w:p>
      <w:pPr>
        <w:keepNext/>
        <w:spacing w:before="320" w:after="120"/>
      </w:pPr>
      <w:r>
        <w:rPr>
          <w:rFonts w:ascii="Segoe UI" w:hAnsi="Segoe UI"/>
          <w:b/>
          <w:color w:val="0F172A"/>
          <w:sz w:val="28"/>
        </w:rPr>
        <w:t>3. Cinematic Scrollytelling Engine &amp; Symmetrical Pricing Architecture</w:t>
      </w:r>
    </w:p>
    <w:p>
      <w:pPr>
        <w:spacing w:before="40" w:after="120"/>
      </w:pPr>
      <w:r>
        <w:rPr>
          <w:color w:val="1E293B"/>
        </w:rPr>
        <w:t>CinematicScrollExperience.tsx orchestrates a 550vh pinned runway across 3 high-definition optical dissolve video scenes:</w:t>
      </w:r>
    </w:p>
    <w:tbl>
      <w:tblPr>
        <w:tblW w:type="auto" w:w="0"/>
        <w:jc w:val="center"/>
        <w:tblLook w:firstColumn="1" w:firstRow="1" w:lastColumn="0" w:lastRow="0" w:noHBand="0" w:noVBand="1" w:val="04A0"/>
      </w:tblPr>
      <w:tblGrid>
        <w:gridCol w:w="2484"/>
        <w:gridCol w:w="2484"/>
        <w:gridCol w:w="2484"/>
        <w:gridCol w:w="2484"/>
      </w:tblGrid>
      <w:tr>
        <w:tc>
          <w:tcPr>
            <w:tcW w:type="dxa" w:w="2484"/>
            <w:shd w:fill="1E293B"/>
            <w:tcMar>
              <w:top w:w="100" w:type="dxa"/>
              <w:bottom w:w="100" w:type="dxa"/>
              <w:left w:w="120" w:type="dxa"/>
              <w:right w:w="120" w:type="dxa"/>
            </w:tcMar>
          </w:tcPr>
          <w:p>
            <w:r>
              <w:rPr>
                <w:b/>
                <w:color w:val="FFFFFF"/>
                <w:sz w:val="17"/>
              </w:rPr>
              <w:t>Scene</w:t>
            </w:r>
          </w:p>
        </w:tc>
        <w:tc>
          <w:tcPr>
            <w:tcW w:type="dxa" w:w="2484"/>
            <w:shd w:fill="1E293B"/>
            <w:tcMar>
              <w:top w:w="100" w:type="dxa"/>
              <w:bottom w:w="100" w:type="dxa"/>
              <w:left w:w="120" w:type="dxa"/>
              <w:right w:w="120" w:type="dxa"/>
            </w:tcMar>
          </w:tcPr>
          <w:p>
            <w:r>
              <w:rPr>
                <w:b/>
                <w:color w:val="FFFFFF"/>
                <w:sz w:val="17"/>
              </w:rPr>
              <w:t>Theme &amp; Asset</w:t>
            </w:r>
          </w:p>
        </w:tc>
        <w:tc>
          <w:tcPr>
            <w:tcW w:type="dxa" w:w="2484"/>
            <w:shd w:fill="1E293B"/>
            <w:tcMar>
              <w:top w:w="100" w:type="dxa"/>
              <w:bottom w:w="100" w:type="dxa"/>
              <w:left w:w="120" w:type="dxa"/>
              <w:right w:w="120" w:type="dxa"/>
            </w:tcMar>
          </w:tcPr>
          <w:p>
            <w:r>
              <w:rPr>
                <w:b/>
                <w:color w:val="FFFFFF"/>
                <w:sz w:val="17"/>
              </w:rPr>
              <w:t>Headline &amp; Narrative</w:t>
            </w:r>
          </w:p>
        </w:tc>
        <w:tc>
          <w:tcPr>
            <w:tcW w:type="dxa" w:w="2484"/>
            <w:shd w:fill="1E293B"/>
            <w:tcMar>
              <w:top w:w="100" w:type="dxa"/>
              <w:bottom w:w="100" w:type="dxa"/>
              <w:left w:w="120" w:type="dxa"/>
              <w:right w:w="120" w:type="dxa"/>
            </w:tcMar>
          </w:tcPr>
          <w:p>
            <w:r>
              <w:rPr>
                <w:b/>
                <w:color w:val="FFFFFF"/>
                <w:sz w:val="17"/>
              </w:rPr>
              <w:t>Pricing / Interactions / CTAs</w:t>
            </w:r>
          </w:p>
        </w:tc>
      </w:tr>
      <w:tr>
        <w:tc>
          <w:tcPr>
            <w:tcW w:type="dxa" w:w="2484"/>
            <w:shd w:fill="F8FAFC"/>
            <w:tcMar>
              <w:top w:w="80" w:type="dxa"/>
              <w:bottom w:w="80" w:type="dxa"/>
              <w:left w:w="100" w:type="dxa"/>
              <w:right w:w="100" w:type="dxa"/>
            </w:tcMar>
          </w:tcPr>
          <w:p>
            <w:r>
              <w:rPr>
                <w:color w:val="1E293B"/>
                <w:sz w:val="16"/>
              </w:rPr>
              <w:t>Scene 1 (0–28%)</w:t>
            </w:r>
          </w:p>
        </w:tc>
        <w:tc>
          <w:tcPr>
            <w:tcW w:type="dxa" w:w="2484"/>
            <w:shd w:fill="F8FAFC"/>
            <w:tcMar>
              <w:top w:w="80" w:type="dxa"/>
              <w:bottom w:w="80" w:type="dxa"/>
              <w:left w:w="100" w:type="dxa"/>
              <w:right w:w="100" w:type="dxa"/>
            </w:tcMar>
          </w:tcPr>
          <w:p>
            <w:r>
              <w:rPr>
                <w:color w:val="1E293B"/>
                <w:sz w:val="16"/>
              </w:rPr>
              <w:t>Mewtwo Awakening (/videos/scene5.mp4)</w:t>
            </w:r>
          </w:p>
        </w:tc>
        <w:tc>
          <w:tcPr>
            <w:tcW w:type="dxa" w:w="2484"/>
            <w:shd w:fill="F8FAFC"/>
            <w:tcMar>
              <w:top w:w="80" w:type="dxa"/>
              <w:bottom w:w="80" w:type="dxa"/>
              <w:left w:w="100" w:type="dxa"/>
              <w:right w:w="100" w:type="dxa"/>
            </w:tcMar>
          </w:tcPr>
          <w:p>
            <w:r>
              <w:rPr>
                <w:color w:val="1E293B"/>
                <w:sz w:val="16"/>
              </w:rPr>
              <w:t>Break every limit. Unleash raw power across dimensions.</w:t>
            </w:r>
          </w:p>
        </w:tc>
        <w:tc>
          <w:tcPr>
            <w:tcW w:type="dxa" w:w="2484"/>
            <w:shd w:fill="F8FAFC"/>
            <w:tcMar>
              <w:top w:w="80" w:type="dxa"/>
              <w:bottom w:w="80" w:type="dxa"/>
              <w:left w:w="100" w:type="dxa"/>
              <w:right w:w="100" w:type="dxa"/>
            </w:tcMar>
          </w:tcPr>
          <w:p>
            <w:r>
              <w:rPr>
                <w:color w:val="1E293B"/>
                <w:sz w:val="16"/>
              </w:rPr>
              <w:t>Instant Dispatch, 30-Day License, 'Buy License Key →', Customer Vault Modal</w:t>
            </w:r>
          </w:p>
        </w:tc>
      </w:tr>
      <w:tr>
        <w:tc>
          <w:tcPr>
            <w:tcW w:type="dxa" w:w="2484"/>
            <w:shd w:fill="FFFFFF"/>
            <w:tcMar>
              <w:top w:w="80" w:type="dxa"/>
              <w:bottom w:w="80" w:type="dxa"/>
              <w:left w:w="100" w:type="dxa"/>
              <w:right w:w="100" w:type="dxa"/>
            </w:tcMar>
          </w:tcPr>
          <w:p>
            <w:r>
              <w:rPr>
                <w:color w:val="1E293B"/>
                <w:sz w:val="16"/>
              </w:rPr>
              <w:t>Scene 2 (28–62%)</w:t>
            </w:r>
          </w:p>
        </w:tc>
        <w:tc>
          <w:tcPr>
            <w:tcW w:type="dxa" w:w="2484"/>
            <w:shd w:fill="FFFFFF"/>
            <w:tcMar>
              <w:top w:w="80" w:type="dxa"/>
              <w:bottom w:w="80" w:type="dxa"/>
              <w:left w:w="100" w:type="dxa"/>
              <w:right w:w="100" w:type="dxa"/>
            </w:tcMar>
          </w:tcPr>
          <w:p>
            <w:r>
              <w:rPr>
                <w:color w:val="1E293B"/>
                <w:sz w:val="16"/>
              </w:rPr>
              <w:t>Cyberpunk Shibuya (/videos/scene2.mp4)</w:t>
            </w:r>
          </w:p>
        </w:tc>
        <w:tc>
          <w:tcPr>
            <w:tcW w:type="dxa" w:w="2484"/>
            <w:shd w:fill="FFFFFF"/>
            <w:tcMar>
              <w:top w:w="80" w:type="dxa"/>
              <w:bottom w:w="80" w:type="dxa"/>
              <w:left w:w="100" w:type="dxa"/>
              <w:right w:w="100" w:type="dxa"/>
            </w:tcMar>
          </w:tcPr>
          <w:p>
            <w:r>
              <w:rPr>
                <w:color w:val="1E293B"/>
                <w:sz w:val="16"/>
              </w:rPr>
              <w:t>Roam anywhere. Seamless virtual teleportation.</w:t>
            </w:r>
          </w:p>
        </w:tc>
        <w:tc>
          <w:tcPr>
            <w:tcW w:type="dxa" w:w="2484"/>
            <w:shd w:fill="FFFFFF"/>
            <w:tcMar>
              <w:top w:w="80" w:type="dxa"/>
              <w:bottom w:w="80" w:type="dxa"/>
              <w:left w:w="100" w:type="dxa"/>
              <w:right w:w="100" w:type="dxa"/>
            </w:tcMar>
          </w:tcPr>
          <w:p>
            <w:r>
              <w:rPr>
                <w:color w:val="1E293B"/>
                <w:sz w:val="16"/>
              </w:rPr>
              <w:t>Cooldown Radar, 60 FPS Emulation, 100% IV Sniping</w:t>
            </w:r>
          </w:p>
        </w:tc>
      </w:tr>
      <w:tr>
        <w:tc>
          <w:tcPr>
            <w:tcW w:type="dxa" w:w="2484"/>
            <w:shd w:fill="F8FAFC"/>
            <w:tcMar>
              <w:top w:w="80" w:type="dxa"/>
              <w:bottom w:w="80" w:type="dxa"/>
              <w:left w:w="100" w:type="dxa"/>
              <w:right w:w="100" w:type="dxa"/>
            </w:tcMar>
          </w:tcPr>
          <w:p>
            <w:r>
              <w:rPr>
                <w:color w:val="1E293B"/>
                <w:sz w:val="16"/>
              </w:rPr>
              <w:t>Scene 3 (62–100%)</w:t>
            </w:r>
          </w:p>
        </w:tc>
        <w:tc>
          <w:tcPr>
            <w:tcW w:type="dxa" w:w="2484"/>
            <w:shd w:fill="F8FAFC"/>
            <w:tcMar>
              <w:top w:w="80" w:type="dxa"/>
              <w:bottom w:w="80" w:type="dxa"/>
              <w:left w:w="100" w:type="dxa"/>
              <w:right w:w="100" w:type="dxa"/>
            </w:tcMar>
          </w:tcPr>
          <w:p>
            <w:r>
              <w:rPr>
                <w:color w:val="1E293B"/>
                <w:sz w:val="16"/>
              </w:rPr>
              <w:t>Charizard vs Greninja Showdown (/videos/scene1.mp4)</w:t>
            </w:r>
          </w:p>
        </w:tc>
        <w:tc>
          <w:tcPr>
            <w:tcW w:type="dxa" w:w="2484"/>
            <w:shd w:fill="F8FAFC"/>
            <w:tcMar>
              <w:top w:w="80" w:type="dxa"/>
              <w:bottom w:w="80" w:type="dxa"/>
              <w:left w:w="100" w:type="dxa"/>
              <w:right w:w="100" w:type="dxa"/>
            </w:tcMar>
          </w:tcPr>
          <w:p>
            <w:r>
              <w:rPr>
                <w:color w:val="1E293B"/>
                <w:sz w:val="16"/>
              </w:rPr>
              <w:t>Master every raid. Instant VIP key allocation.</w:t>
            </w:r>
          </w:p>
        </w:tc>
        <w:tc>
          <w:tcPr>
            <w:tcW w:type="dxa" w:w="2484"/>
            <w:shd w:fill="F8FAFC"/>
            <w:tcMar>
              <w:top w:w="80" w:type="dxa"/>
              <w:bottom w:w="80" w:type="dxa"/>
              <w:left w:w="100" w:type="dxa"/>
              <w:right w:w="100" w:type="dxa"/>
            </w:tcMar>
          </w:tcPr>
          <w:p>
            <w:r>
              <w:rPr>
                <w:color w:val="1E293B"/>
                <w:sz w:val="16"/>
              </w:rPr>
              <w:t>1 Device: ₹180 ($1.99) | 2 Devices: ₹350 ($3.50, 🔥 BEST VALUE), Instant UPI &amp; PayPal Checkout</w:t>
            </w:r>
          </w:p>
        </w:tc>
      </w:tr>
    </w:tbl>
    <w:p>
      <w:pPr>
        <w:spacing w:after="120"/>
      </w:pPr>
    </w:p>
    <w:p>
      <w:pPr>
        <w:keepNext/>
        <w:spacing w:before="240" w:after="80"/>
      </w:pPr>
      <w:r>
        <w:rPr>
          <w:rFonts w:ascii="Segoe UI" w:hAnsi="Segoe UI"/>
          <w:b/>
          <w:color w:val="0284C7"/>
          <w:sz w:val="23"/>
        </w:rPr>
        <w:t>3.1 Side-by-Side Symmetrical Pricing Geometry</w:t>
      </w:r>
    </w:p>
    <w:p>
      <w:pPr>
        <w:pStyle w:val="ListBullet"/>
        <w:spacing w:before="40" w:after="40"/>
      </w:pPr>
      <w:r>
        <w:rPr>
          <w:b/>
          <w:color w:val="0F172A"/>
        </w:rPr>
        <w:t xml:space="preserve">1-Device Plan: </w:t>
      </w:r>
      <w:r>
        <w:rPr>
          <w:color w:val="1E293B"/>
        </w:rPr>
        <w:t>Priced at ₹180 INR ($1.99 USD) for 1 Android device slot over 30 days.</w:t>
      </w:r>
    </w:p>
    <w:p>
      <w:pPr>
        <w:pStyle w:val="ListBullet"/>
        <w:spacing w:before="40" w:after="40"/>
      </w:pPr>
      <w:r>
        <w:rPr>
          <w:b/>
          <w:color w:val="0F172A"/>
        </w:rPr>
        <w:t xml:space="preserve">2-Devices Plan (Bundle Deal): </w:t>
      </w:r>
      <w:r>
        <w:rPr>
          <w:color w:val="1E293B"/>
        </w:rPr>
        <w:t>Priced at ₹350 INR ($3.50 USD) with a glowing translucent '🔥 BEST VALUE' tag resting directly on top of the card border.</w:t>
      </w:r>
    </w:p>
    <w:p>
      <w:pPr>
        <w:pStyle w:val="ListBullet"/>
        <w:spacing w:before="40" w:after="40"/>
      </w:pPr>
      <w:r>
        <w:rPr>
          <w:b/>
          <w:color w:val="0F172A"/>
        </w:rPr>
        <w:t xml:space="preserve">Zero Vertical Stacking: </w:t>
      </w:r>
      <w:r>
        <w:rPr>
          <w:color w:val="1E293B"/>
        </w:rPr>
        <w:t>Cards remain side-by-side across all mobile screens, taking only 120px height and preserving complete background video clarity.</w:t>
      </w:r>
    </w:p>
    <w:p>
      <w:pPr>
        <w:keepNext/>
        <w:spacing w:before="320" w:after="120"/>
      </w:pPr>
      <w:r>
        <w:rPr>
          <w:rFonts w:ascii="Segoe UI" w:hAnsi="Segoe UI"/>
          <w:b/>
          <w:color w:val="0F172A"/>
          <w:sz w:val="28"/>
        </w:rPr>
        <w:t>4. Customer Vault &amp; 'My Keys' Self-Service Key Finder</w:t>
      </w:r>
    </w:p>
    <w:p>
      <w:pPr>
        <w:spacing w:before="40" w:after="120"/>
      </w:pPr>
      <w:r>
        <w:rPr>
          <w:color w:val="1E293B"/>
        </w:rPr>
        <w:t>Accessible via the top navigation capsule ([ 🔑 My Keys ]), allowing customers to view and copy their purchased license keys anytime without contacting support.</w:t>
      </w:r>
    </w:p>
    <w:p>
      <w:pPr>
        <w:pStyle w:val="ListBullet"/>
        <w:spacing w:before="40" w:after="40"/>
      </w:pPr>
      <w:r>
        <w:rPr>
          <w:b/>
          <w:color w:val="0F172A"/>
        </w:rPr>
        <w:t xml:space="preserve">1-Click Google Sign-In: </w:t>
      </w:r>
      <w:r>
        <w:rPr>
          <w:color w:val="1E293B"/>
        </w:rPr>
        <w:t>Fastest primary authentication method. Customers sign in with 1 click to view keys tied to their Gmail.</w:t>
      </w:r>
    </w:p>
    <w:p>
      <w:pPr>
        <w:pStyle w:val="ListBullet"/>
        <w:spacing w:before="40" w:after="40"/>
      </w:pPr>
      <w:r>
        <w:rPr>
          <w:b/>
          <w:color w:val="0F172A"/>
        </w:rPr>
        <w:t xml:space="preserve">Streamlined Email Access: </w:t>
      </w:r>
      <w:r>
        <w:rPr>
          <w:color w:val="1E293B"/>
        </w:rPr>
        <w:t>Direct email and password sign-in / registration with automatic key synchronization for all past guest checkouts.</w:t>
      </w:r>
    </w:p>
    <w:p>
      <w:pPr>
        <w:pStyle w:val="ListBullet"/>
        <w:spacing w:before="40" w:after="40"/>
      </w:pPr>
      <w:r>
        <w:rPr>
          <w:b/>
          <w:color w:val="0F172A"/>
        </w:rPr>
        <w:t xml:space="preserve">Live License Dashboard: </w:t>
      </w:r>
      <w:r>
        <w:rPr>
          <w:color w:val="1E293B"/>
        </w:rPr>
        <w:t>Displays license key (with 1-click copy), active plan type, device slots, and real-time days remaining countdown.</w:t>
      </w:r>
    </w:p>
    <w:p>
      <w:pPr>
        <w:keepNext/>
        <w:spacing w:before="320" w:after="120"/>
      </w:pPr>
      <w:r>
        <w:rPr>
          <w:rFonts w:ascii="Segoe UI" w:hAnsi="Segoe UI"/>
          <w:b/>
          <w:color w:val="0F172A"/>
          <w:sz w:val="28"/>
        </w:rPr>
        <w:t>5. Real-Time Discord Webhook Administrative Backup Alerts</w:t>
      </w:r>
    </w:p>
    <w:p>
      <w:pPr>
        <w:spacing w:before="40" w:after="120"/>
      </w:pPr>
      <w:r>
        <w:rPr>
          <w:color w:val="1E293B"/>
        </w:rPr>
        <w:t>Every completed order across Razorpay UPI and PayPal v2 triggers an asynchronous rich Discord embed to the administrator's private server via src/lib/notifications/discordAdmin.ts, containing Order ID, Customer Email, Plan, Amount, Assigned License Key, and Gateway Transaction ID.</w:t>
      </w:r>
    </w:p>
    <w:p>
      <w:pPr>
        <w:keepNext/>
        <w:spacing w:before="320" w:after="120"/>
      </w:pPr>
      <w:r>
        <w:rPr>
          <w:rFonts w:ascii="Segoe UI" w:hAnsi="Segoe UI"/>
          <w:b/>
          <w:color w:val="0F172A"/>
          <w:sz w:val="28"/>
        </w:rPr>
        <w:t>6. Automated Email Delivery &amp; Typography Standards</w:t>
      </w:r>
    </w:p>
    <w:p>
      <w:pPr>
        <w:spacing w:before="40" w:after="120"/>
      </w:pPr>
      <w:r>
        <w:rPr>
          <w:color w:val="1E293B"/>
        </w:rPr>
        <w:t>Automated license emails dispatched via Resend API formatted in formal 'Times New Roman', Times, serif (16px) with copy: 'Thank you for buying from aetheria-store, this is your license details.' from sender 'Aetheria Store &lt;onboarding@resend.dev&gt;'.</w:t>
      </w:r>
    </w:p>
    <w:p>
      <w:pPr>
        <w:keepNext/>
        <w:spacing w:before="320" w:after="120"/>
      </w:pPr>
      <w:r>
        <w:rPr>
          <w:rFonts w:ascii="Segoe UI" w:hAnsi="Segoe UI"/>
          <w:b/>
          <w:color w:val="0F172A"/>
          <w:sz w:val="28"/>
        </w:rPr>
        <w:t>7. Multi-Channel Community Support Hub</w:t>
      </w:r>
    </w:p>
    <w:p>
      <w:pPr>
        <w:spacing w:before="40" w:after="120"/>
      </w:pPr>
      <w:r>
        <w:rPr>
          <w:color w:val="1E293B"/>
        </w:rPr>
        <w:t>24/7 direct human assistance across Discord (DISCORD_URL), Reddit (REDDIT_URL), and Telegram (@sleekfx3 / TELEGRAM_URL), embedded across the header dock, footer, /contact page, and order success screens.</w:t>
      </w:r>
    </w:p>
    <w:p>
      <w:pPr>
        <w:keepNext/>
        <w:spacing w:before="320" w:after="120"/>
      </w:pPr>
      <w:r>
        <w:rPr>
          <w:rFonts w:ascii="Segoe UI" w:hAnsi="Segoe UI"/>
          <w:b/>
          <w:color w:val="0F172A"/>
          <w:sz w:val="28"/>
        </w:rPr>
        <w:t>8. Cryptographic Key Security &amp; Vault Architecture</w:t>
      </w:r>
    </w:p>
    <w:p>
      <w:pPr>
        <w:spacing w:before="40" w:after="120"/>
      </w:pPr>
      <w:r>
        <w:rPr>
          <w:color w:val="1E293B"/>
        </w:rPr>
        <w:t>AES-256-GCM encryption at rest, atomic Firestore transactions for slot allocation, and cryptographic HMAC webhook verification.</w:t>
      </w:r>
    </w:p>
    <w:p>
      <w:pPr>
        <w:keepNext/>
        <w:spacing w:before="320" w:after="120"/>
      </w:pPr>
      <w:r>
        <w:rPr>
          <w:rFonts w:ascii="Segoe UI" w:hAnsi="Segoe UI"/>
          <w:b/>
          <w:color w:val="0F172A"/>
          <w:sz w:val="28"/>
        </w:rPr>
        <w:t>9. Complete Route &amp; API Architecture Map</w:t>
      </w:r>
    </w:p>
    <w:tbl>
      <w:tblPr>
        <w:tblW w:type="auto" w:w="0"/>
        <w:jc w:val="center"/>
        <w:tblLook w:firstColumn="1" w:firstRow="1" w:lastColumn="0" w:lastRow="0" w:noHBand="0" w:noVBand="1" w:val="04A0"/>
      </w:tblPr>
      <w:tblGrid>
        <w:gridCol w:w="3312"/>
        <w:gridCol w:w="3312"/>
        <w:gridCol w:w="3312"/>
      </w:tblGrid>
      <w:tr>
        <w:tc>
          <w:tcPr>
            <w:tcW w:type="dxa" w:w="3312"/>
            <w:shd w:fill="1E293B"/>
            <w:tcMar>
              <w:top w:w="100" w:type="dxa"/>
              <w:bottom w:w="100" w:type="dxa"/>
              <w:left w:w="120" w:type="dxa"/>
              <w:right w:w="120" w:type="dxa"/>
            </w:tcMar>
          </w:tcPr>
          <w:p>
            <w:r>
              <w:rPr>
                <w:b/>
                <w:color w:val="FFFFFF"/>
                <w:sz w:val="17"/>
              </w:rPr>
              <w:t>Route / Endpoint</w:t>
            </w:r>
          </w:p>
        </w:tc>
        <w:tc>
          <w:tcPr>
            <w:tcW w:type="dxa" w:w="3312"/>
            <w:shd w:fill="1E293B"/>
            <w:tcMar>
              <w:top w:w="100" w:type="dxa"/>
              <w:bottom w:w="100" w:type="dxa"/>
              <w:left w:w="120" w:type="dxa"/>
              <w:right w:w="120" w:type="dxa"/>
            </w:tcMar>
          </w:tcPr>
          <w:p>
            <w:r>
              <w:rPr>
                <w:b/>
                <w:color w:val="FFFFFF"/>
                <w:sz w:val="17"/>
              </w:rPr>
              <w:t>Rendering Type</w:t>
            </w:r>
          </w:p>
        </w:tc>
        <w:tc>
          <w:tcPr>
            <w:tcW w:type="dxa" w:w="3312"/>
            <w:shd w:fill="1E293B"/>
            <w:tcMar>
              <w:top w:w="100" w:type="dxa"/>
              <w:bottom w:w="100" w:type="dxa"/>
              <w:left w:w="120" w:type="dxa"/>
              <w:right w:w="120" w:type="dxa"/>
            </w:tcMar>
          </w:tcPr>
          <w:p>
            <w:r>
              <w:rPr>
                <w:b/>
                <w:color w:val="FFFFFF"/>
                <w:sz w:val="17"/>
              </w:rPr>
              <w:t>Purpose &amp; Functionality</w:t>
            </w:r>
          </w:p>
        </w:tc>
      </w:tr>
      <w:tr>
        <w:tc>
          <w:tcPr>
            <w:tcW w:type="dxa" w:w="3312"/>
            <w:shd w:fill="F8FAFC"/>
            <w:tcMar>
              <w:top w:w="80" w:type="dxa"/>
              <w:bottom w:w="80" w:type="dxa"/>
              <w:left w:w="100" w:type="dxa"/>
              <w:right w:w="100" w:type="dxa"/>
            </w:tcMar>
          </w:tcPr>
          <w:p>
            <w:r>
              <w:rPr>
                <w:color w:val="1E293B"/>
                <w:sz w:val="16"/>
              </w:rPr>
              <w:t>/</w:t>
            </w:r>
          </w:p>
        </w:tc>
        <w:tc>
          <w:tcPr>
            <w:tcW w:type="dxa" w:w="3312"/>
            <w:shd w:fill="F8FAFC"/>
            <w:tcMar>
              <w:top w:w="80" w:type="dxa"/>
              <w:bottom w:w="80" w:type="dxa"/>
              <w:left w:w="100" w:type="dxa"/>
              <w:right w:w="100" w:type="dxa"/>
            </w:tcMar>
          </w:tcPr>
          <w:p>
            <w:r>
              <w:rPr>
                <w:color w:val="1E293B"/>
                <w:sz w:val="16"/>
              </w:rPr>
              <w:t>Static / Client</w:t>
            </w:r>
          </w:p>
        </w:tc>
        <w:tc>
          <w:tcPr>
            <w:tcW w:type="dxa" w:w="3312"/>
            <w:shd w:fill="F8FAFC"/>
            <w:tcMar>
              <w:top w:w="80" w:type="dxa"/>
              <w:bottom w:w="80" w:type="dxa"/>
              <w:left w:w="100" w:type="dxa"/>
              <w:right w:w="100" w:type="dxa"/>
            </w:tcMar>
          </w:tcPr>
          <w:p>
            <w:r>
              <w:rPr>
                <w:color w:val="1E293B"/>
                <w:sz w:val="16"/>
              </w:rPr>
              <w:t>Main 3-Scene Scrollytelling Storefront, Preloader, HUD &amp; Customer Vault</w:t>
            </w:r>
          </w:p>
        </w:tc>
      </w:tr>
      <w:tr>
        <w:tc>
          <w:tcPr>
            <w:tcW w:type="dxa" w:w="3312"/>
            <w:shd w:fill="FFFFFF"/>
            <w:tcMar>
              <w:top w:w="80" w:type="dxa"/>
              <w:bottom w:w="80" w:type="dxa"/>
              <w:left w:w="100" w:type="dxa"/>
              <w:right w:w="100" w:type="dxa"/>
            </w:tcMar>
          </w:tcPr>
          <w:p>
            <w:r>
              <w:rPr>
                <w:color w:val="1E293B"/>
                <w:sz w:val="16"/>
              </w:rPr>
              <w:t>/order-success/[orderId]</w:t>
            </w:r>
          </w:p>
        </w:tc>
        <w:tc>
          <w:tcPr>
            <w:tcW w:type="dxa" w:w="3312"/>
            <w:shd w:fill="FFFFFF"/>
            <w:tcMar>
              <w:top w:w="80" w:type="dxa"/>
              <w:bottom w:w="80" w:type="dxa"/>
              <w:left w:w="100" w:type="dxa"/>
              <w:right w:w="100" w:type="dxa"/>
            </w:tcMar>
          </w:tcPr>
          <w:p>
            <w:r>
              <w:rPr>
                <w:color w:val="1E293B"/>
                <w:sz w:val="16"/>
              </w:rPr>
              <w:t>Dynamic SSR</w:t>
            </w:r>
          </w:p>
        </w:tc>
        <w:tc>
          <w:tcPr>
            <w:tcW w:type="dxa" w:w="3312"/>
            <w:shd w:fill="FFFFFF"/>
            <w:tcMar>
              <w:top w:w="80" w:type="dxa"/>
              <w:bottom w:w="80" w:type="dxa"/>
              <w:left w:w="100" w:type="dxa"/>
              <w:right w:w="100" w:type="dxa"/>
            </w:tcMar>
          </w:tcPr>
          <w:p>
            <w:r>
              <w:rPr>
                <w:color w:val="1E293B"/>
                <w:sz w:val="16"/>
              </w:rPr>
              <w:t>Encrypted Key Vault, Confetti Reveal, Receipt Breakdown &amp; Activation Guide</w:t>
            </w:r>
          </w:p>
        </w:tc>
      </w:tr>
      <w:tr>
        <w:tc>
          <w:tcPr>
            <w:tcW w:type="dxa" w:w="3312"/>
            <w:shd w:fill="F8FAFC"/>
            <w:tcMar>
              <w:top w:w="80" w:type="dxa"/>
              <w:bottom w:w="80" w:type="dxa"/>
              <w:left w:w="100" w:type="dxa"/>
              <w:right w:w="100" w:type="dxa"/>
            </w:tcMar>
          </w:tcPr>
          <w:p>
            <w:r>
              <w:rPr>
                <w:color w:val="1E293B"/>
                <w:sz w:val="16"/>
              </w:rPr>
              <w:t>/contact</w:t>
            </w:r>
          </w:p>
        </w:tc>
        <w:tc>
          <w:tcPr>
            <w:tcW w:type="dxa" w:w="3312"/>
            <w:shd w:fill="F8FAFC"/>
            <w:tcMar>
              <w:top w:w="80" w:type="dxa"/>
              <w:bottom w:w="80" w:type="dxa"/>
              <w:left w:w="100" w:type="dxa"/>
              <w:right w:w="100" w:type="dxa"/>
            </w:tcMar>
          </w:tcPr>
          <w:p>
            <w:r>
              <w:rPr>
                <w:color w:val="1E293B"/>
                <w:sz w:val="16"/>
              </w:rPr>
              <w:t>Static / Client</w:t>
            </w:r>
          </w:p>
        </w:tc>
        <w:tc>
          <w:tcPr>
            <w:tcW w:type="dxa" w:w="3312"/>
            <w:shd w:fill="F8FAFC"/>
            <w:tcMar>
              <w:top w:w="80" w:type="dxa"/>
              <w:bottom w:w="80" w:type="dxa"/>
              <w:left w:w="100" w:type="dxa"/>
              <w:right w:w="100" w:type="dxa"/>
            </w:tcMar>
          </w:tcPr>
          <w:p>
            <w:r>
              <w:rPr>
                <w:color w:val="1E293B"/>
                <w:sz w:val="16"/>
              </w:rPr>
              <w:t>3-Column Multi-Channel Support Hub (Discord, Reddit, Telegram @sleekfx3)</w:t>
            </w:r>
          </w:p>
        </w:tc>
      </w:tr>
      <w:tr>
        <w:tc>
          <w:tcPr>
            <w:tcW w:type="dxa" w:w="3312"/>
            <w:shd w:fill="FFFFFF"/>
            <w:tcMar>
              <w:top w:w="80" w:type="dxa"/>
              <w:bottom w:w="80" w:type="dxa"/>
              <w:left w:w="100" w:type="dxa"/>
              <w:right w:w="100" w:type="dxa"/>
            </w:tcMar>
          </w:tcPr>
          <w:p>
            <w:r>
              <w:rPr>
                <w:color w:val="1E293B"/>
                <w:sz w:val="16"/>
              </w:rPr>
              <w:t>/admin</w:t>
            </w:r>
          </w:p>
        </w:tc>
        <w:tc>
          <w:tcPr>
            <w:tcW w:type="dxa" w:w="3312"/>
            <w:shd w:fill="FFFFFF"/>
            <w:tcMar>
              <w:top w:w="80" w:type="dxa"/>
              <w:bottom w:w="80" w:type="dxa"/>
              <w:left w:w="100" w:type="dxa"/>
              <w:right w:w="100" w:type="dxa"/>
            </w:tcMar>
          </w:tcPr>
          <w:p>
            <w:r>
              <w:rPr>
                <w:color w:val="1E293B"/>
                <w:sz w:val="16"/>
              </w:rPr>
              <w:t>Static / Client</w:t>
            </w:r>
          </w:p>
        </w:tc>
        <w:tc>
          <w:tcPr>
            <w:tcW w:type="dxa" w:w="3312"/>
            <w:shd w:fill="FFFFFF"/>
            <w:tcMar>
              <w:top w:w="80" w:type="dxa"/>
              <w:bottom w:w="80" w:type="dxa"/>
              <w:left w:w="100" w:type="dxa"/>
              <w:right w:w="100" w:type="dxa"/>
            </w:tcMar>
          </w:tcPr>
          <w:p>
            <w:r>
              <w:rPr>
                <w:color w:val="1E293B"/>
                <w:sz w:val="16"/>
              </w:rPr>
              <w:t>Admin Key Ingestion, Slot Tier Analytics &amp; Waitlist Manager</w:t>
            </w:r>
          </w:p>
        </w:tc>
      </w:tr>
      <w:tr>
        <w:tc>
          <w:tcPr>
            <w:tcW w:type="dxa" w:w="3312"/>
            <w:shd w:fill="F8FAFC"/>
            <w:tcMar>
              <w:top w:w="80" w:type="dxa"/>
              <w:bottom w:w="80" w:type="dxa"/>
              <w:left w:w="100" w:type="dxa"/>
              <w:right w:w="100" w:type="dxa"/>
            </w:tcMar>
          </w:tcPr>
          <w:p>
            <w:r>
              <w:rPr>
                <w:color w:val="1E293B"/>
                <w:sz w:val="16"/>
              </w:rPr>
              <w:t>/api/user/keys</w:t>
            </w:r>
          </w:p>
        </w:tc>
        <w:tc>
          <w:tcPr>
            <w:tcW w:type="dxa" w:w="3312"/>
            <w:shd w:fill="F8FAFC"/>
            <w:tcMar>
              <w:top w:w="80" w:type="dxa"/>
              <w:bottom w:w="80" w:type="dxa"/>
              <w:left w:w="100" w:type="dxa"/>
              <w:right w:w="100" w:type="dxa"/>
            </w:tcMar>
          </w:tcPr>
          <w:p>
            <w:r>
              <w:rPr>
                <w:color w:val="1E293B"/>
                <w:sz w:val="16"/>
              </w:rPr>
              <w:t>Dynamic API (Auth)</w:t>
            </w:r>
          </w:p>
        </w:tc>
        <w:tc>
          <w:tcPr>
            <w:tcW w:type="dxa" w:w="3312"/>
            <w:shd w:fill="F8FAFC"/>
            <w:tcMar>
              <w:top w:w="80" w:type="dxa"/>
              <w:bottom w:w="80" w:type="dxa"/>
              <w:left w:w="100" w:type="dxa"/>
              <w:right w:w="100" w:type="dxa"/>
            </w:tcMar>
          </w:tcPr>
          <w:p>
            <w:r>
              <w:rPr>
                <w:color w:val="1E293B"/>
                <w:sz w:val="16"/>
              </w:rPr>
              <w:t>Firebase Token Verified Endpoint for Customer Key History &amp; Vault Retrieval</w:t>
            </w:r>
          </w:p>
        </w:tc>
      </w:tr>
      <w:tr>
        <w:tc>
          <w:tcPr>
            <w:tcW w:type="dxa" w:w="3312"/>
            <w:shd w:fill="FFFFFF"/>
            <w:tcMar>
              <w:top w:w="80" w:type="dxa"/>
              <w:bottom w:w="80" w:type="dxa"/>
              <w:left w:w="100" w:type="dxa"/>
              <w:right w:w="100" w:type="dxa"/>
            </w:tcMar>
          </w:tcPr>
          <w:p>
            <w:r>
              <w:rPr>
                <w:color w:val="1E293B"/>
                <w:sz w:val="16"/>
              </w:rPr>
              <w:t>/api/stock</w:t>
            </w:r>
          </w:p>
        </w:tc>
        <w:tc>
          <w:tcPr>
            <w:tcW w:type="dxa" w:w="3312"/>
            <w:shd w:fill="FFFFFF"/>
            <w:tcMar>
              <w:top w:w="80" w:type="dxa"/>
              <w:bottom w:w="80" w:type="dxa"/>
              <w:left w:w="100" w:type="dxa"/>
              <w:right w:w="100" w:type="dxa"/>
            </w:tcMar>
          </w:tcPr>
          <w:p>
            <w:r>
              <w:rPr>
                <w:color w:val="1E293B"/>
                <w:sz w:val="16"/>
              </w:rPr>
              <w:t>Dynamic API (Cached)</w:t>
            </w:r>
          </w:p>
        </w:tc>
        <w:tc>
          <w:tcPr>
            <w:tcW w:type="dxa" w:w="3312"/>
            <w:shd w:fill="FFFFFF"/>
            <w:tcMar>
              <w:top w:w="80" w:type="dxa"/>
              <w:bottom w:w="80" w:type="dxa"/>
              <w:left w:w="100" w:type="dxa"/>
              <w:right w:w="100" w:type="dxa"/>
            </w:tcMar>
          </w:tcPr>
          <w:p>
            <w:r>
              <w:rPr>
                <w:color w:val="1E293B"/>
                <w:sz w:val="16"/>
              </w:rPr>
              <w:t>Real-time Tier Stock, Usable Slots &amp; Active Inventory Counts (10s CDN Cache)</w:t>
            </w:r>
          </w:p>
        </w:tc>
      </w:tr>
      <w:tr>
        <w:tc>
          <w:tcPr>
            <w:tcW w:type="dxa" w:w="3312"/>
            <w:shd w:fill="F8FAFC"/>
            <w:tcMar>
              <w:top w:w="80" w:type="dxa"/>
              <w:bottom w:w="80" w:type="dxa"/>
              <w:left w:w="100" w:type="dxa"/>
              <w:right w:w="100" w:type="dxa"/>
            </w:tcMar>
          </w:tcPr>
          <w:p>
            <w:r>
              <w:rPr>
                <w:color w:val="1E293B"/>
                <w:sz w:val="16"/>
              </w:rPr>
              <w:t>/api/stock/[planId]</w:t>
            </w:r>
          </w:p>
        </w:tc>
        <w:tc>
          <w:tcPr>
            <w:tcW w:type="dxa" w:w="3312"/>
            <w:shd w:fill="F8FAFC"/>
            <w:tcMar>
              <w:top w:w="80" w:type="dxa"/>
              <w:bottom w:w="80" w:type="dxa"/>
              <w:left w:w="100" w:type="dxa"/>
              <w:right w:w="100" w:type="dxa"/>
            </w:tcMar>
          </w:tcPr>
          <w:p>
            <w:r>
              <w:rPr>
                <w:color w:val="1E293B"/>
                <w:sz w:val="16"/>
              </w:rPr>
              <w:t>Dynamic API</w:t>
            </w:r>
          </w:p>
        </w:tc>
        <w:tc>
          <w:tcPr>
            <w:tcW w:type="dxa" w:w="3312"/>
            <w:shd w:fill="F8FAFC"/>
            <w:tcMar>
              <w:top w:w="80" w:type="dxa"/>
              <w:bottom w:w="80" w:type="dxa"/>
              <w:left w:w="100" w:type="dxa"/>
              <w:right w:w="100" w:type="dxa"/>
            </w:tcMar>
          </w:tcPr>
          <w:p>
            <w:r>
              <w:rPr>
                <w:color w:val="1E293B"/>
                <w:sz w:val="16"/>
              </w:rPr>
              <w:t>Individual Plan Stock Availability &amp; Status Check</w:t>
            </w:r>
          </w:p>
        </w:tc>
      </w:tr>
      <w:tr>
        <w:tc>
          <w:tcPr>
            <w:tcW w:type="dxa" w:w="3312"/>
            <w:shd w:fill="FFFFFF"/>
            <w:tcMar>
              <w:top w:w="80" w:type="dxa"/>
              <w:bottom w:w="80" w:type="dxa"/>
              <w:left w:w="100" w:type="dxa"/>
              <w:right w:w="100" w:type="dxa"/>
            </w:tcMar>
          </w:tcPr>
          <w:p>
            <w:r>
              <w:rPr>
                <w:color w:val="1E293B"/>
                <w:sz w:val="16"/>
              </w:rPr>
              <w:t>/api/checkout/upi</w:t>
            </w:r>
          </w:p>
        </w:tc>
        <w:tc>
          <w:tcPr>
            <w:tcW w:type="dxa" w:w="3312"/>
            <w:shd w:fill="FFFFFF"/>
            <w:tcMar>
              <w:top w:w="80" w:type="dxa"/>
              <w:bottom w:w="80" w:type="dxa"/>
              <w:left w:w="100" w:type="dxa"/>
              <w:right w:w="100" w:type="dxa"/>
            </w:tcMar>
          </w:tcPr>
          <w:p>
            <w:r>
              <w:rPr>
                <w:color w:val="1E293B"/>
                <w:sz w:val="16"/>
              </w:rPr>
              <w:t>Dynamic API</w:t>
            </w:r>
          </w:p>
        </w:tc>
        <w:tc>
          <w:tcPr>
            <w:tcW w:type="dxa" w:w="3312"/>
            <w:shd w:fill="FFFFFF"/>
            <w:tcMar>
              <w:top w:w="80" w:type="dxa"/>
              <w:bottom w:w="80" w:type="dxa"/>
              <w:left w:w="100" w:type="dxa"/>
              <w:right w:w="100" w:type="dxa"/>
            </w:tcMar>
          </w:tcPr>
          <w:p>
            <w:r>
              <w:rPr>
                <w:color w:val="1E293B"/>
                <w:sz w:val="16"/>
              </w:rPr>
              <w:t>Razorpay UPI QR Code / Payment Intent Generation (₹180 / ₹350)</w:t>
            </w:r>
          </w:p>
        </w:tc>
      </w:tr>
      <w:tr>
        <w:tc>
          <w:tcPr>
            <w:tcW w:type="dxa" w:w="3312"/>
            <w:shd w:fill="F8FAFC"/>
            <w:tcMar>
              <w:top w:w="80" w:type="dxa"/>
              <w:bottom w:w="80" w:type="dxa"/>
              <w:left w:w="100" w:type="dxa"/>
              <w:right w:w="100" w:type="dxa"/>
            </w:tcMar>
          </w:tcPr>
          <w:p>
            <w:r>
              <w:rPr>
                <w:color w:val="1E293B"/>
                <w:sz w:val="16"/>
              </w:rPr>
              <w:t>/api/checkout/upi/verify</w:t>
            </w:r>
          </w:p>
        </w:tc>
        <w:tc>
          <w:tcPr>
            <w:tcW w:type="dxa" w:w="3312"/>
            <w:shd w:fill="F8FAFC"/>
            <w:tcMar>
              <w:top w:w="80" w:type="dxa"/>
              <w:bottom w:w="80" w:type="dxa"/>
              <w:left w:w="100" w:type="dxa"/>
              <w:right w:w="100" w:type="dxa"/>
            </w:tcMar>
          </w:tcPr>
          <w:p>
            <w:r>
              <w:rPr>
                <w:color w:val="1E293B"/>
                <w:sz w:val="16"/>
              </w:rPr>
              <w:t>Dynamic API</w:t>
            </w:r>
          </w:p>
        </w:tc>
        <w:tc>
          <w:tcPr>
            <w:tcW w:type="dxa" w:w="3312"/>
            <w:shd w:fill="F8FAFC"/>
            <w:tcMar>
              <w:top w:w="80" w:type="dxa"/>
              <w:bottom w:w="80" w:type="dxa"/>
              <w:left w:w="100" w:type="dxa"/>
              <w:right w:w="100" w:type="dxa"/>
            </w:tcMar>
          </w:tcPr>
          <w:p>
            <w:r>
              <w:rPr>
                <w:color w:val="1E293B"/>
                <w:sz w:val="16"/>
              </w:rPr>
              <w:t>UPI Payment Signature Verification, Key Allocation &amp; Discord Admin Alert</w:t>
            </w:r>
          </w:p>
        </w:tc>
      </w:tr>
      <w:tr>
        <w:tc>
          <w:tcPr>
            <w:tcW w:type="dxa" w:w="3312"/>
            <w:shd w:fill="FFFFFF"/>
            <w:tcMar>
              <w:top w:w="80" w:type="dxa"/>
              <w:bottom w:w="80" w:type="dxa"/>
              <w:left w:w="100" w:type="dxa"/>
              <w:right w:w="100" w:type="dxa"/>
            </w:tcMar>
          </w:tcPr>
          <w:p>
            <w:r>
              <w:rPr>
                <w:color w:val="1E293B"/>
                <w:sz w:val="16"/>
              </w:rPr>
              <w:t>/api/checkout/razorpay/verify</w:t>
            </w:r>
          </w:p>
        </w:tc>
        <w:tc>
          <w:tcPr>
            <w:tcW w:type="dxa" w:w="3312"/>
            <w:shd w:fill="FFFFFF"/>
            <w:tcMar>
              <w:top w:w="80" w:type="dxa"/>
              <w:bottom w:w="80" w:type="dxa"/>
              <w:left w:w="100" w:type="dxa"/>
              <w:right w:w="100" w:type="dxa"/>
            </w:tcMar>
          </w:tcPr>
          <w:p>
            <w:r>
              <w:rPr>
                <w:color w:val="1E293B"/>
                <w:sz w:val="16"/>
              </w:rPr>
              <w:t>Dynamic API</w:t>
            </w:r>
          </w:p>
        </w:tc>
        <w:tc>
          <w:tcPr>
            <w:tcW w:type="dxa" w:w="3312"/>
            <w:shd w:fill="FFFFFF"/>
            <w:tcMar>
              <w:top w:w="80" w:type="dxa"/>
              <w:bottom w:w="80" w:type="dxa"/>
              <w:left w:w="100" w:type="dxa"/>
              <w:right w:w="100" w:type="dxa"/>
            </w:tcMar>
          </w:tcPr>
          <w:p>
            <w:r>
              <w:rPr>
                <w:color w:val="1E293B"/>
                <w:sz w:val="16"/>
              </w:rPr>
              <w:t>Razorpay Card/Netbanking Verification, Key Allocation &amp; Discord Alert</w:t>
            </w:r>
          </w:p>
        </w:tc>
      </w:tr>
      <w:tr>
        <w:tc>
          <w:tcPr>
            <w:tcW w:type="dxa" w:w="3312"/>
            <w:shd w:fill="F8FAFC"/>
            <w:tcMar>
              <w:top w:w="80" w:type="dxa"/>
              <w:bottom w:w="80" w:type="dxa"/>
              <w:left w:w="100" w:type="dxa"/>
              <w:right w:w="100" w:type="dxa"/>
            </w:tcMar>
          </w:tcPr>
          <w:p>
            <w:r>
              <w:rPr>
                <w:color w:val="1E293B"/>
                <w:sz w:val="16"/>
              </w:rPr>
              <w:t>/api/checkout/paypal</w:t>
            </w:r>
          </w:p>
        </w:tc>
        <w:tc>
          <w:tcPr>
            <w:tcW w:type="dxa" w:w="3312"/>
            <w:shd w:fill="F8FAFC"/>
            <w:tcMar>
              <w:top w:w="80" w:type="dxa"/>
              <w:bottom w:w="80" w:type="dxa"/>
              <w:left w:w="100" w:type="dxa"/>
              <w:right w:w="100" w:type="dxa"/>
            </w:tcMar>
          </w:tcPr>
          <w:p>
            <w:r>
              <w:rPr>
                <w:color w:val="1E293B"/>
                <w:sz w:val="16"/>
              </w:rPr>
              <w:t>Dynamic API</w:t>
            </w:r>
          </w:p>
        </w:tc>
        <w:tc>
          <w:tcPr>
            <w:tcW w:type="dxa" w:w="3312"/>
            <w:shd w:fill="F8FAFC"/>
            <w:tcMar>
              <w:top w:w="80" w:type="dxa"/>
              <w:bottom w:w="80" w:type="dxa"/>
              <w:left w:w="100" w:type="dxa"/>
              <w:right w:w="100" w:type="dxa"/>
            </w:tcMar>
          </w:tcPr>
          <w:p>
            <w:r>
              <w:rPr>
                <w:color w:val="1E293B"/>
                <w:sz w:val="16"/>
              </w:rPr>
              <w:t>PayPal v2 Order Creation Endpoint ($1.99 / $3.50)</w:t>
            </w:r>
          </w:p>
        </w:tc>
      </w:tr>
      <w:tr>
        <w:tc>
          <w:tcPr>
            <w:tcW w:type="dxa" w:w="3312"/>
            <w:shd w:fill="FFFFFF"/>
            <w:tcMar>
              <w:top w:w="80" w:type="dxa"/>
              <w:bottom w:w="80" w:type="dxa"/>
              <w:left w:w="100" w:type="dxa"/>
              <w:right w:w="100" w:type="dxa"/>
            </w:tcMar>
          </w:tcPr>
          <w:p>
            <w:r>
              <w:rPr>
                <w:color w:val="1E293B"/>
                <w:sz w:val="16"/>
              </w:rPr>
              <w:t>/api/checkout/paypal/capture</w:t>
            </w:r>
          </w:p>
        </w:tc>
        <w:tc>
          <w:tcPr>
            <w:tcW w:type="dxa" w:w="3312"/>
            <w:shd w:fill="FFFFFF"/>
            <w:tcMar>
              <w:top w:w="80" w:type="dxa"/>
              <w:bottom w:w="80" w:type="dxa"/>
              <w:left w:w="100" w:type="dxa"/>
              <w:right w:w="100" w:type="dxa"/>
            </w:tcMar>
          </w:tcPr>
          <w:p>
            <w:r>
              <w:rPr>
                <w:color w:val="1E293B"/>
                <w:sz w:val="16"/>
              </w:rPr>
              <w:t>Dynamic API</w:t>
            </w:r>
          </w:p>
        </w:tc>
        <w:tc>
          <w:tcPr>
            <w:tcW w:type="dxa" w:w="3312"/>
            <w:shd w:fill="FFFFFF"/>
            <w:tcMar>
              <w:top w:w="80" w:type="dxa"/>
              <w:bottom w:w="80" w:type="dxa"/>
              <w:left w:w="100" w:type="dxa"/>
              <w:right w:w="100" w:type="dxa"/>
            </w:tcMar>
          </w:tcPr>
          <w:p>
            <w:r>
              <w:rPr>
                <w:color w:val="1E293B"/>
                <w:sz w:val="16"/>
              </w:rPr>
              <w:t>PayPal Order Capture, Key Dispatch, Email &amp; Discord Admin Alert</w:t>
            </w:r>
          </w:p>
        </w:tc>
      </w:tr>
      <w:tr>
        <w:tc>
          <w:tcPr>
            <w:tcW w:type="dxa" w:w="3312"/>
            <w:shd w:fill="F8FAFC"/>
            <w:tcMar>
              <w:top w:w="80" w:type="dxa"/>
              <w:bottom w:w="80" w:type="dxa"/>
              <w:left w:w="100" w:type="dxa"/>
              <w:right w:w="100" w:type="dxa"/>
            </w:tcMar>
          </w:tcPr>
          <w:p>
            <w:r>
              <w:rPr>
                <w:color w:val="1E293B"/>
                <w:sz w:val="16"/>
              </w:rPr>
              <w:t>/api/webhooks/paypal</w:t>
            </w:r>
          </w:p>
        </w:tc>
        <w:tc>
          <w:tcPr>
            <w:tcW w:type="dxa" w:w="3312"/>
            <w:shd w:fill="F8FAFC"/>
            <w:tcMar>
              <w:top w:w="80" w:type="dxa"/>
              <w:bottom w:w="80" w:type="dxa"/>
              <w:left w:w="100" w:type="dxa"/>
              <w:right w:w="100" w:type="dxa"/>
            </w:tcMar>
          </w:tcPr>
          <w:p>
            <w:r>
              <w:rPr>
                <w:color w:val="1E293B"/>
                <w:sz w:val="16"/>
              </w:rPr>
              <w:t>Dynamic API</w:t>
            </w:r>
          </w:p>
        </w:tc>
        <w:tc>
          <w:tcPr>
            <w:tcW w:type="dxa" w:w="3312"/>
            <w:shd w:fill="F8FAFC"/>
            <w:tcMar>
              <w:top w:w="80" w:type="dxa"/>
              <w:bottom w:w="80" w:type="dxa"/>
              <w:left w:w="100" w:type="dxa"/>
              <w:right w:w="100" w:type="dxa"/>
            </w:tcMar>
          </w:tcPr>
          <w:p>
            <w:r>
              <w:rPr>
                <w:color w:val="1E293B"/>
                <w:sz w:val="16"/>
              </w:rPr>
              <w:t>PayPal Asynchronous Webhook Verification &amp; Key Fulfillment</w:t>
            </w:r>
          </w:p>
        </w:tc>
      </w:tr>
      <w:tr>
        <w:tc>
          <w:tcPr>
            <w:tcW w:type="dxa" w:w="3312"/>
            <w:shd w:fill="FFFFFF"/>
            <w:tcMar>
              <w:top w:w="80" w:type="dxa"/>
              <w:bottom w:w="80" w:type="dxa"/>
              <w:left w:w="100" w:type="dxa"/>
              <w:right w:w="100" w:type="dxa"/>
            </w:tcMar>
          </w:tcPr>
          <w:p>
            <w:r>
              <w:rPr>
                <w:color w:val="1E293B"/>
                <w:sz w:val="16"/>
              </w:rPr>
              <w:t>/api/webhooks/upi</w:t>
            </w:r>
          </w:p>
        </w:tc>
        <w:tc>
          <w:tcPr>
            <w:tcW w:type="dxa" w:w="3312"/>
            <w:shd w:fill="FFFFFF"/>
            <w:tcMar>
              <w:top w:w="80" w:type="dxa"/>
              <w:bottom w:w="80" w:type="dxa"/>
              <w:left w:w="100" w:type="dxa"/>
              <w:right w:w="100" w:type="dxa"/>
            </w:tcMar>
          </w:tcPr>
          <w:p>
            <w:r>
              <w:rPr>
                <w:color w:val="1E293B"/>
                <w:sz w:val="16"/>
              </w:rPr>
              <w:t>Dynamic API</w:t>
            </w:r>
          </w:p>
        </w:tc>
        <w:tc>
          <w:tcPr>
            <w:tcW w:type="dxa" w:w="3312"/>
            <w:shd w:fill="FFFFFF"/>
            <w:tcMar>
              <w:top w:w="80" w:type="dxa"/>
              <w:bottom w:w="80" w:type="dxa"/>
              <w:left w:w="100" w:type="dxa"/>
              <w:right w:w="100" w:type="dxa"/>
            </w:tcMar>
          </w:tcPr>
          <w:p>
            <w:r>
              <w:rPr>
                <w:color w:val="1E293B"/>
                <w:sz w:val="16"/>
              </w:rPr>
              <w:t>Razorpay Asynchronous Webhook Verification &amp; Fulfillment</w:t>
            </w:r>
          </w:p>
        </w:tc>
      </w:tr>
      <w:tr>
        <w:tc>
          <w:tcPr>
            <w:tcW w:type="dxa" w:w="3312"/>
            <w:shd w:fill="F8FAFC"/>
            <w:tcMar>
              <w:top w:w="80" w:type="dxa"/>
              <w:bottom w:w="80" w:type="dxa"/>
              <w:left w:w="100" w:type="dxa"/>
              <w:right w:w="100" w:type="dxa"/>
            </w:tcMar>
          </w:tcPr>
          <w:p>
            <w:r>
              <w:rPr>
                <w:color w:val="1E293B"/>
                <w:sz w:val="16"/>
              </w:rPr>
              <w:t>/api/restock-notify</w:t>
            </w:r>
          </w:p>
        </w:tc>
        <w:tc>
          <w:tcPr>
            <w:tcW w:type="dxa" w:w="3312"/>
            <w:shd w:fill="F8FAFC"/>
            <w:tcMar>
              <w:top w:w="80" w:type="dxa"/>
              <w:bottom w:w="80" w:type="dxa"/>
              <w:left w:w="100" w:type="dxa"/>
              <w:right w:w="100" w:type="dxa"/>
            </w:tcMar>
          </w:tcPr>
          <w:p>
            <w:r>
              <w:rPr>
                <w:color w:val="1E293B"/>
                <w:sz w:val="16"/>
              </w:rPr>
              <w:t>Dynamic API</w:t>
            </w:r>
          </w:p>
        </w:tc>
        <w:tc>
          <w:tcPr>
            <w:tcW w:type="dxa" w:w="3312"/>
            <w:shd w:fill="F8FAFC"/>
            <w:tcMar>
              <w:top w:w="80" w:type="dxa"/>
              <w:bottom w:w="80" w:type="dxa"/>
              <w:left w:w="100" w:type="dxa"/>
              <w:right w:w="100" w:type="dxa"/>
            </w:tcMar>
          </w:tcPr>
          <w:p>
            <w:r>
              <w:rPr>
                <w:color w:val="1E293B"/>
                <w:sz w:val="16"/>
              </w:rPr>
              <w:t>Customer Restock Notification Waitlist Ingestion</w:t>
            </w:r>
          </w:p>
        </w:tc>
      </w:tr>
      <w:tr>
        <w:tc>
          <w:tcPr>
            <w:tcW w:type="dxa" w:w="3312"/>
            <w:shd w:fill="FFFFFF"/>
            <w:tcMar>
              <w:top w:w="80" w:type="dxa"/>
              <w:bottom w:w="80" w:type="dxa"/>
              <w:left w:w="100" w:type="dxa"/>
              <w:right w:w="100" w:type="dxa"/>
            </w:tcMar>
          </w:tcPr>
          <w:p>
            <w:r>
              <w:rPr>
                <w:color w:val="1E293B"/>
                <w:sz w:val="16"/>
              </w:rPr>
              <w:t>/terms, /privacy, /refund</w:t>
            </w:r>
          </w:p>
        </w:tc>
        <w:tc>
          <w:tcPr>
            <w:tcW w:type="dxa" w:w="3312"/>
            <w:shd w:fill="FFFFFF"/>
            <w:tcMar>
              <w:top w:w="80" w:type="dxa"/>
              <w:bottom w:w="80" w:type="dxa"/>
              <w:left w:w="100" w:type="dxa"/>
              <w:right w:w="100" w:type="dxa"/>
            </w:tcMar>
          </w:tcPr>
          <w:p>
            <w:r>
              <w:rPr>
                <w:color w:val="1E293B"/>
                <w:sz w:val="16"/>
              </w:rPr>
              <w:t>Static</w:t>
            </w:r>
          </w:p>
        </w:tc>
        <w:tc>
          <w:tcPr>
            <w:tcW w:type="dxa" w:w="3312"/>
            <w:shd w:fill="FFFFFF"/>
            <w:tcMar>
              <w:top w:w="80" w:type="dxa"/>
              <w:bottom w:w="80" w:type="dxa"/>
              <w:left w:w="100" w:type="dxa"/>
              <w:right w:w="100" w:type="dxa"/>
            </w:tcMar>
          </w:tcPr>
          <w:p>
            <w:r>
              <w:rPr>
                <w:color w:val="1E293B"/>
                <w:sz w:val="16"/>
              </w:rPr>
              <w:t>Legal Compliance, Terms of Service, Privacy Policy &amp; Refund Guidelines</w:t>
            </w:r>
          </w:p>
        </w:tc>
      </w:tr>
    </w:tbl>
    <w:p>
      <w:pPr>
        <w:spacing w:after="120"/>
      </w:pPr>
    </w:p>
    <w:p>
      <w:pPr>
        <w:keepNext/>
        <w:spacing w:before="320" w:after="120"/>
      </w:pPr>
      <w:r>
        <w:rPr>
          <w:rFonts w:ascii="Segoe UI" w:hAnsi="Segoe UI"/>
          <w:b/>
          <w:color w:val="0F172A"/>
          <w:sz w:val="28"/>
        </w:rPr>
        <w:t>10. Operational Runbook &amp; Production Guide</w:t>
      </w:r>
    </w:p>
    <w:p>
      <w:pPr>
        <w:pStyle w:val="ListBullet"/>
        <w:spacing w:before="40" w:after="40"/>
      </w:pPr>
      <w:r>
        <w:rPr>
          <w:b/>
          <w:color w:val="0F172A"/>
        </w:rPr>
        <w:t xml:space="preserve">Environment Configuration (.env.local): </w:t>
      </w:r>
      <w:r>
        <w:rPr>
          <w:color w:val="1E293B"/>
        </w:rPr>
        <w:t>All Firebase, Razorpay, PayPal, Resend, Discord Webhook, and social variables properly configured.</w:t>
      </w:r>
    </w:p>
    <w:p>
      <w:pPr>
        <w:pStyle w:val="ListBullet"/>
        <w:spacing w:before="40" w:after="40"/>
      </w:pPr>
      <w:r>
        <w:rPr>
          <w:b/>
          <w:color w:val="0F172A"/>
        </w:rPr>
        <w:t xml:space="preserve">Production Build Command: </w:t>
      </w:r>
      <w:r>
        <w:rPr>
          <w:color w:val="1E293B"/>
        </w:rPr>
        <w:t>Execute 'npm run build' — 15 routes compiled with 0 errors.</w:t>
      </w:r>
    </w:p>
    <w:p>
      <w:pPr>
        <w:pStyle w:val="ListBullet"/>
        <w:spacing w:before="40" w:after="40"/>
      </w:pPr>
      <w:r>
        <w:rPr>
          <w:b/>
          <w:color w:val="0F172A"/>
        </w:rPr>
        <w:t xml:space="preserve">Production Server Start: </w:t>
      </w:r>
      <w:r>
        <w:rPr>
          <w:color w:val="1E293B"/>
        </w:rPr>
        <w:t>Execute 'npm run start' on port 3000.</w:t>
      </w:r>
    </w:p>
    <w:p>
      <w:r>
        <w:rPr>
          <w:b/>
        </w:rPr>
        <w:br/>
        <w:t>17. Release Notes &amp; Mobile Ergonomics Upgrade (v1.7.0)</w:t>
        <w:br/>
      </w:r>
    </w:p>
    <w:p>
      <w:r>
        <w:t>• Ghost Click Elimination: Implemented strict autoAlpha: 0 and activeSceneIdx === 2 guards on Scene 3 pricing cards, eliminating accidental touch triggers on Scene 1.</w:t>
      </w:r>
    </w:p>
    <w:p>
      <w:r>
        <w:t>• Mobile Typography Scaling: Enlarged HUD text (3xl/5xl headlines, sm/base descriptions, bold tags) and lifted baseline to bottom-24 for optimal mobile readability.</w:t>
      </w:r>
    </w:p>
    <w:p>
      <w:r>
        <w:t>• Minimalist White Blinking Swipe Guidance: Replaced cyan capsule with pulsing white uppercase mono text and animated minimalist mouse/scroll icon.</w:t>
      </w:r>
    </w:p>
    <w:p>
      <w:r>
        <w:t>• Extended Preloader (~4.8s): Extended neural buffering timeline ensuring 1440p videos and audio assets load smoothly before storefront entry.</w:t>
      </w:r>
    </w:p>
    <w:p>
      <w:r>
        <w:t>• Header Scaling &amp; Alignment Tuning (v1.7.1): Enlarged mobile header badge (w-10 h-10), wordmark (text-base/lg), and touch toggles (h-9 w-9). Placed mobile swipe indicator in row alongside Buy Key button at bottom-24, while keeping desktop scroll indicator centered at viewport bottom.</w:t>
      </w:r>
    </w:p>
    <w:p>
      <w:r>
        <w:t>• Button Proportions &amp; Mobile Centering (v1.7.2): Refined header Buy Key button typography (text-[11px] font-sans font-bold) and trimmed bottom Buy License Key CTA padding (px-4 py-2 text-xs/sm) to align the pulsing Swipe Down indicator directly on the horizontal center axis of mobile screens.</w:t>
      </w:r>
    </w:p>
    <w:p>
      <w:r>
        <w:t>• True Screen Centering for Mobile Swipe Indicator (v1.7.3): Decoupled the mobile swipe down indicator from the button flex container and locked it directly to viewport horizontal center (left-1/2 -translate-x-1/2 at bottom-[5.85rem]), ensuring 100.00% dead-center alignment on all mobile devices while sitting in row with the Buy License Key CTA.</w:t>
      </w:r>
    </w:p>
    <w:p>
      <w:r>
        <w:t>• Scene-Specific Viewport Zoom &amp; Pricing Card Revamp (v1.7.4): Zoomed Scene 1 (Mewtwo) &amp; Scene 2 (Expedition/Shibuya) on mobile/tablets (scale-[1.38]) while preserving original 16:9 widescreen unscaled view for Scene 3 (Greninja vs Charizard Arena). Enlarged pricing boxes with generous padding (p-4/p-6), bigger headlines/prices, and replaced confusing numeric vault counts with a clean Instant Auto-Dispatch badge.</w:t>
      </w:r>
    </w:p>
    <w:p>
      <w:r>
        <w:t>• Vertically Long Pricing Cards &amp; Scene 3 Center Elevation (v1.7.5): Increased vertical height and padding of pricing card boxes on mobile/touch devices (min-h-[210px], py-5, balanced vertical distribution) for enhanced readability and touch comfort. Elevated Scene 3 widescreen battle arena to object-[center_34%] so Charizard and Greninja remain centered above the pricing boxes.</w:t>
      </w:r>
    </w:p>
    <w:p>
      <w:r>
        <w:t>• Taller Pricing Cards with Feature Perks (v1.7.6): Expanded minimum vertical height to min-h-[255px] with py-6/py-8 padding and added structured feature checkmarks (30 Days Full Access, Teleport &amp; Auto-Walk) for an editorial luxury card appearance.</w:t>
      </w:r>
    </w:p>
    <w:p>
      <w:r>
        <w:t>• PGSharp Product Clarification &amp; Reseller Disclaimers (v1.7.7): Explicitly declared PGSharp Standard Edition key distribution across Scene 1 &amp; 2 HUD descriptions/badges, pricing card titles (PGSharp 1 Device / PGSharp 2 Devices) and VIP perks, added dedicated FAQ explanations of app key utility and independent reseller status, and included legal safe-harbor disclaimers in the footer while locking all UI layout geometries.</w:t>
      </w:r>
    </w:p>
    <w:p>
      <w:r>
        <w:t>• Preloader PGSharp Key Vault Branding (v1.7.8): Integrated permanent cyan frosted pill badge (PGSHARP KEY VAULT) directly beneath the AETHERIA wordmark and added dynamic sci-fi terminal status steps (CONNECTING TO SECURE VAULT, SYNCING PGSHARP LICENSE PIPELINE, PGSHARP STANDARD KEYS READY, ALL SYSTEMS OPERATIONAL) while removing cluttered bottom prompt text for a clean, luxury intro experience.</w:t>
      </w:r>
    </w:p>
    <w:p>
      <w:r>
        <w:t>• Tab Lifecycle Audio Pausing &amp; SEO Ranking Infrastructure (v1.7.9): Implemented Page Visibility API and pagehide listeners so ambient audio automatically pauses on tab switch, background minimization, or screen lock. Generated dynamic sitemap.xml and robots.txt routes alongside Google Rich Snippet JSON-LD structured data (Store, Products with INR/USD offers, FAQPage schema) for maximum search ranking across PGSharp key queries.</w:t>
      </w:r>
    </w:p>
    <w:p>
      <w:r>
        <w:t>• Comprehensive SEO Search Query &amp; Long-Tail Tag Library (v1.8.0): Expanded high-intent keyword metadata targeting exact auto-suggest queries (pgsharp, pgsharp key, pgsharp free key, pgsharp key generator, pgsharp for pc, pgsharp pokemon go, pgsharp apk, pgsharp download, pgsharp key buy india, pgsharp upi/gpay/paytm, aetheria store, aetheria pgsharp) along with canonical URLs and OpenGraph/Twitter card tags.</w:t>
      </w:r>
    </w:p>
    <w:p>
      <w:r>
        <w:t>• Exhaustive Organic Search Coverage &amp; Fake Generator Converter (v1.8.1): Injected 30+ high-traffic search terms spanning Free Key queries (pgsharp key generator, free pgsharp activation key, pgsharp crack key), Year-specific tags (2025/2026 working keys), platform keywords (PC/emulator), and community leak searches (reddit/discord) into metadata, paired with Google Structured FAQ schema that explains online generators are malware and funnels searches into authentic instant keys.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