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0F172A"/>
          <w:sz w:val="48"/>
        </w:rPr>
        <w:t>AETHERIA — PGSharp Digital Storefront</w:t>
      </w:r>
    </w:p>
    <w:p>
      <w:pPr>
        <w:spacing w:after="280"/>
      </w:pPr>
      <w:r>
        <w:rPr>
          <w:rFonts w:ascii="Arial" w:hAnsi="Arial"/>
          <w:color w:val="0E7490"/>
          <w:sz w:val="26"/>
        </w:rPr>
        <w:t>Comprehensive Technical, Architectural &amp; Engineering Production Manual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64748B"/>
                <w:sz w:val="17"/>
              </w:rPr>
              <w:t>Version: 1.0.0 Prod</w:t>
            </w:r>
          </w:p>
        </w:tc>
        <w:tc>
          <w:tcPr>
            <w:tcW w:type="dxa" w:w="2304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64748B"/>
                <w:sz w:val="17"/>
              </w:rPr>
              <w:t>Framework: Next.js 14</w:t>
            </w:r>
          </w:p>
        </w:tc>
        <w:tc>
          <w:tcPr>
            <w:tcW w:type="dxa" w:w="2304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64748B"/>
                <w:sz w:val="17"/>
              </w:rPr>
              <w:t>Security: AES-256-GCM</w:t>
            </w:r>
          </w:p>
        </w:tc>
        <w:tc>
          <w:tcPr>
            <w:tcW w:type="dxa" w:w="244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64748B"/>
                <w:sz w:val="17"/>
              </w:rPr>
              <w:t>Date: September 2026</w:t>
            </w:r>
          </w:p>
        </w:tc>
      </w:tr>
    </w:tbl>
    <w:p>
      <w:pPr>
        <w:spacing w:after="200"/>
      </w:pP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1. Executive Summary &amp; System Overview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AETHERIA is a next-generation, high-performance digital storefront engineered specifically for official PGSharp Standard Edition key distribution. It merges luxury dark-mode aesthetics (Obsidian Glassmorphism, Neon Cyan &amp; Emerald accoutrements) with an interactive 550vh image-sequence scrollytelling runway, dual-rail automated checkout, cryptographic key security, ambient spatial audio, and an instant zero-latency customer fulfillment portal.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Core Brand Proposition: </w:t>
      </w:r>
      <w:r>
        <w:rPr>
          <w:rFonts w:ascii="Arial" w:hAnsi="Arial"/>
          <w:color w:val="0F172A"/>
          <w:sz w:val="20"/>
        </w:rPr>
        <w:t>Institutional-grade reliability, instantaneous automated key dispatch, zero ban risk advisory, and 1-on-1 VIP concierge support.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Technology Stack: </w:t>
      </w:r>
      <w:r>
        <w:rPr>
          <w:rFonts w:ascii="Arial" w:hAnsi="Arial"/>
          <w:color w:val="0F172A"/>
          <w:sz w:val="20"/>
        </w:rPr>
        <w:t>Next.js 14 App Router, TypeScript, Tailwind CSS, GSAP 3 (ScrollTrigger), HTML5 Canvas Particle Engine, Firebase Firestore / Admin SDK, Razorpay UPI, and PayPal v2 Checkout API.</w:t>
      </w: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2. Cinematic Scrollytelling Engine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The storefront experience is driven by CinematicScrollExperience.tsx, utilizing a pinned 550vh scroll runway that orchestrates 3 cinematic video scenes with synchronous HUD text reveals: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Scene</w:t>
            </w:r>
          </w:p>
        </w:tc>
        <w:tc>
          <w:tcPr>
            <w:tcW w:type="dxa" w:w="259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Theme &amp; Asset</w:t>
            </w:r>
          </w:p>
        </w:tc>
        <w:tc>
          <w:tcPr>
            <w:tcW w:type="dxa" w:w="259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Headline &amp; Narrative</w:t>
            </w:r>
          </w:p>
        </w:tc>
        <w:tc>
          <w:tcPr>
            <w:tcW w:type="dxa" w:w="2448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Interaction / CTAs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Scene 1 (0–28%)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Mewtwo Cryo-Awakening (/videos/mewtwo.mp4)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Break every limit. Unleash raw power across dimensions.</w:t>
            </w:r>
          </w:p>
        </w:tc>
        <w:tc>
          <w:tcPr>
            <w:tcW w:type="dxa" w:w="244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Instant Dispatch, 30-Day License, 'Buy License Key →'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Scene 2 (28–62%)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Cyberpunk Shibuya (/videos/shibuya.mp4)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Roam anywhere. Seamless virtual teleportation.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Cooldown Radar, 60 FPS Emulation, 100% IV Sniping</w:t>
            </w:r>
          </w:p>
        </w:tc>
      </w:tr>
      <w:tr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Scene 3 (62–100%)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Mewtwo Showdown (/videos/mewtwo_2.mp4)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Master every raid. Instant VIP key allocation.</w:t>
            </w:r>
          </w:p>
        </w:tc>
        <w:tc>
          <w:tcPr>
            <w:tcW w:type="dxa" w:w="244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Dual Obsidian Pricing Cards (1-Device &amp; 2-Device)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Arial" w:hAnsi="Arial"/>
          <w:b/>
          <w:color w:val="0F172A"/>
          <w:sz w:val="24"/>
        </w:rPr>
        <w:t>2.1 Dual-Player Optical Dissolve Video Loop Engine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Standard HTML5 video looping produces hard, jarring visual jump cuts. AETHERIA implements DissolveSceneVideo, a dual-player optical cross-fading engine: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Seamless Transition: </w:t>
      </w:r>
      <w:r>
        <w:rPr>
          <w:rFonts w:ascii="Arial" w:hAnsi="Arial"/>
          <w:color w:val="0F172A"/>
          <w:sz w:val="20"/>
        </w:rPr>
        <w:t>When Player A reaches 0.35s before video completion, Player B automatically resets to frame 0 and begins playback. Player A cross-fades opacity to 0 over 300ms while Player B fades to 1, creating an infinite, seamless optical loop.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Hardware-Event Optimization: </w:t>
      </w:r>
      <w:r>
        <w:rPr>
          <w:rFonts w:ascii="Arial" w:hAnsi="Arial"/>
          <w:color w:val="0F172A"/>
          <w:sz w:val="20"/>
        </w:rPr>
        <w:t>Driven by native HTML5 onTimeUpdate event listeners rather than continuous requestAnimationFrame polling loops, reducing CPU and battery consumption by over 90%.</w:t>
      </w: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3. Full-Screen Cinematic Brand Preloader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To establish an immediate AAA gaming atmosphere and eliminate all flashes of unstyled content, Preloader.tsx executes a high-impact intro sequence on first page load: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Phase 1 (0.0s – 0.6s): </w:t>
      </w:r>
      <w:r>
        <w:rPr>
          <w:rFonts w:ascii="Arial" w:hAnsi="Arial"/>
          <w:color w:val="0F172A"/>
          <w:sz w:val="20"/>
        </w:rPr>
        <w:t>Frosted Delta Logo Badge scales in with a glowing neon cyan drop shadow (scale: 0.8 -&gt; 1, filter: drop-shadow(0 0 25px rgba(6,182,212,0.85))).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Phase 2 (0.35s – 1.1s): </w:t>
      </w:r>
      <w:r>
        <w:rPr>
          <w:rFonts w:ascii="Arial" w:hAnsi="Arial"/>
          <w:color w:val="0F172A"/>
          <w:sz w:val="20"/>
        </w:rPr>
        <w:t>Character-split 'AETHERIA' wordmark slides up with staggered timing (stagger: 0.04s), accompanied by the monospace 'VAULT ACCESS PROTOCOL' subtitle and a glowing horizontal cyber progress line.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Phase 3 (1.6s – 2.2s): </w:t>
      </w:r>
      <w:r>
        <w:rPr>
          <w:rFonts w:ascii="Arial" w:hAnsi="Arial"/>
          <w:color w:val="0F172A"/>
          <w:sz w:val="20"/>
        </w:rPr>
        <w:t>Brand elements scale slightly and fade out while the solid black curtain pulls upward like a shutter (yPercent: -100, ease: power4.inOut), seamlessly revealing Scene 1.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Zero-FOUC Guarantee: </w:t>
      </w:r>
      <w:r>
        <w:rPr>
          <w:rFonts w:ascii="Arial" w:hAnsi="Arial"/>
          <w:color w:val="0F172A"/>
          <w:sz w:val="20"/>
        </w:rPr>
        <w:t>All preloader elements are styled with baseline opacity-0 classes in JSX/CSS, completely eliminating initial frame flashes.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Session Persistence: </w:t>
      </w:r>
      <w:r>
        <w:rPr>
          <w:rFonts w:ascii="Arial" w:hAnsi="Arial"/>
          <w:color w:val="0F172A"/>
          <w:sz w:val="20"/>
        </w:rPr>
        <w:t>Leverages sessionStorage.getItem('hasSeenIntro') so the intro sequence only runs once per browser session, ensuring returning users navigate instantly.</w:t>
      </w: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4. Ambient Background Audio Engine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Managed by AmbientAudioContext.tsx and mounted at the root layout (src/app/layout.tsx), providing continuous background spatial atmosphere: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Persistent Singleton: </w:t>
      </w:r>
      <w:r>
        <w:rPr>
          <w:rFonts w:ascii="Arial" w:hAnsi="Arial"/>
          <w:color w:val="0F172A"/>
          <w:sz w:val="20"/>
        </w:rPr>
        <w:t>A single persistent HTML5 Audio instance loads /public/audio/ambient.mp3 and maintains uninterrupted playback across all route navigations.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Volume Calibration &amp; Fade Ramps: </w:t>
      </w:r>
      <w:r>
        <w:rPr>
          <w:rFonts w:ascii="Arial" w:hAnsi="Arial"/>
          <w:color w:val="0F172A"/>
          <w:sz w:val="20"/>
        </w:rPr>
        <w:t>Volume is strictly capped at a comfortable 25% ceiling (TARGET_VOLUME = 0.25) with smooth 300ms volume cross-fade ramps on play/pause toggles.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Frosted HUD Toggle: </w:t>
      </w:r>
      <w:r>
        <w:rPr>
          <w:rFonts w:ascii="Arial" w:hAnsi="Arial"/>
          <w:color w:val="0F172A"/>
          <w:sz w:val="20"/>
        </w:rPr>
        <w:t>Integrated in Header.tsx alongside 'Buy Key →' with dynamic glowing cyan sound wave indicators.</w:t>
      </w: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5. High-Performance Engineering &amp; Optimizations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The storefront has undergone rigorous GPU, memory, and main-thread profiling to guarantee buttery-smooth 60–120 FPS performance: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React State Reconciliation Guard: </w:t>
      </w:r>
      <w:r>
        <w:rPr>
          <w:rFonts w:ascii="Arial" w:hAnsi="Arial"/>
          <w:color w:val="0F172A"/>
          <w:sz w:val="20"/>
        </w:rPr>
        <w:t>handleScrollProgress employs an equality check (prev !== newIdx ? newIdx : prev), eliminating hundreds of unnecessary React component reconciliation passes during fast scrolling.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GSAP Timeline Conflict Resolution: </w:t>
      </w:r>
      <w:r>
        <w:rPr>
          <w:rFonts w:ascii="Arial" w:hAnsi="Arial"/>
          <w:color w:val="0F172A"/>
          <w:sz w:val="20"/>
        </w:rPr>
        <w:t>Configured with overwrite: 'auto', clearProps: 'transform', anticipatePin: 1, and invalidateOnRefresh: true, ensuring zero property collisions between intro entrance animations and scroll scrubbing.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Canvas Tab Visibility Throttling: </w:t>
      </w:r>
      <w:r>
        <w:rPr>
          <w:rFonts w:ascii="Arial" w:hAnsi="Arial"/>
          <w:color w:val="0F172A"/>
          <w:sz w:val="20"/>
        </w:rPr>
        <w:t>AmbientMistParticles.tsx listens to document.visibilitychange, halting the animation loop when the browser tab is inactive (0% CPU/GPU overhead) and resuming instantaneously upon focus.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Media Subsystem Flags: </w:t>
      </w:r>
      <w:r>
        <w:rPr>
          <w:rFonts w:ascii="Arial" w:hAnsi="Arial"/>
          <w:color w:val="0F172A"/>
          <w:sz w:val="20"/>
        </w:rPr>
        <w:t>Added disablePictureInPicture and disableRemotePlayback to all video elements, preventing Chromium and WebKit from attaching background media controllers.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Immutable Asset Caching: </w:t>
      </w:r>
      <w:r>
        <w:rPr>
          <w:rFonts w:ascii="Arial" w:hAnsi="Arial"/>
          <w:color w:val="0F172A"/>
          <w:sz w:val="20"/>
        </w:rPr>
        <w:t>next.config.mjs delivers Cache-Control: public, max-age=31536000, immutable for all video, audio, and image assets.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Sub-5ms Stock API Caching: </w:t>
      </w:r>
      <w:r>
        <w:rPr>
          <w:rFonts w:ascii="Arial" w:hAnsi="Arial"/>
          <w:color w:val="0F172A"/>
          <w:sz w:val="20"/>
        </w:rPr>
        <w:t>/api/stock returns Cache-Control: public, s-maxage=10, stale-while-revalidate=30 for lightning-fast inventory responses with background Firestore revalidation.</w:t>
      </w: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6. Order Confirmation &amp; Fulfillment Experience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Located at /order-success/[orderId], the order fulfillment portal delivers an institutional-grade customer experience: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Holographic Key Vault: </w:t>
      </w:r>
      <w:r>
        <w:rPr>
          <w:rFonts w:ascii="Arial" w:hAnsi="Arial"/>
          <w:color w:val="0F172A"/>
          <w:sz w:val="20"/>
        </w:rPr>
        <w:t>Pulsing emerald status badge, blurred click-to-reveal key card, 1-click copy with confetti particle burst, and strict device binding notice.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Transaction Receipt Breakdown: </w:t>
      </w:r>
      <w:r>
        <w:rPr>
          <w:rFonts w:ascii="Arial" w:hAnsi="Arial"/>
          <w:color w:val="0F172A"/>
          <w:sz w:val="20"/>
        </w:rPr>
        <w:t>4-column breakdown detailing Plan Type, Allocated Slots, Capture Reference, and License Duration.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1-on-1 VIP Support Portal: </w:t>
      </w:r>
      <w:r>
        <w:rPr>
          <w:rFonts w:ascii="Arial" w:hAnsi="Arial"/>
          <w:color w:val="0F172A"/>
          <w:sz w:val="20"/>
        </w:rPr>
        <w:t>Direct messaging buttons linking to Discord Profile and Reddit Profile for instant concierge assistance.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4-Step Interactive Activation Guide: </w:t>
      </w:r>
      <w:r>
        <w:rPr>
          <w:rFonts w:ascii="Arial" w:hAnsi="Arial"/>
          <w:color w:val="0F172A"/>
          <w:sz w:val="20"/>
        </w:rPr>
        <w:t>Stepped luxury obsidian cards detailing APK download, key entry, activation, and spoofing setup, with an official pgsharp.com download button.</w:t>
      </w: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7. Cryptographic Security &amp; Vault Architecture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AETHERIA implements military-grade cryptographic protection for all digital assets: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AES-256-GCM Encryption: </w:t>
      </w:r>
      <w:r>
        <w:rPr>
          <w:rFonts w:ascii="Arial" w:hAnsi="Arial"/>
          <w:color w:val="0F172A"/>
          <w:sz w:val="20"/>
        </w:rPr>
        <w:t>All raw PGSharp license keys are encrypted at rest using AES-256-GCM with unique initialization vectors (IV) and authentication tags.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Device Slot Partitioning: </w:t>
      </w:r>
      <w:r>
        <w:rPr>
          <w:rFonts w:ascii="Arial" w:hAnsi="Arial"/>
          <w:color w:val="0F172A"/>
          <w:sz w:val="20"/>
        </w:rPr>
        <w:t>Keys are dynamically tracked by usableSlots (1-Device, 2-Device, 3-Device). When a user purchases a 1-Device plan, exactly 1 slot is consumed. Keys are retired only when all slots are exhausted.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Webhook Signature Verification: </w:t>
      </w:r>
      <w:r>
        <w:rPr>
          <w:rFonts w:ascii="Arial" w:hAnsi="Arial"/>
          <w:color w:val="0F172A"/>
          <w:sz w:val="20"/>
        </w:rPr>
        <w:t>All payment webhooks (PayPal HMAC &amp; Razorpay SHA256) are cryptographically validated before key release.</w:t>
      </w: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8. Complete Route &amp; API Architecture Map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The application comprises 15 optimized production routes: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Route / Endpoint</w:t>
            </w:r>
          </w:p>
        </w:tc>
        <w:tc>
          <w:tcPr>
            <w:tcW w:type="dxa" w:w="2160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Rendering Type</w:t>
            </w:r>
          </w:p>
        </w:tc>
        <w:tc>
          <w:tcPr>
            <w:tcW w:type="dxa" w:w="4608"/>
            <w:shd w:fill="0E74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Purpose &amp; Functionality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Static / Client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Main 3-Scene Scrollytelling Storefront, Preloader &amp; HUD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/order-success/[orderId]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SSR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Encrypted Key Vault, Confetti Reveal &amp; Activation Guide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/admin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Static / Client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Admin Key Ingestion, Slot Tier Analytics &amp; Waitlist Manager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/api/stock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 (Cached)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Real-time Tier Stock, Usable Slots &amp; Active Inventory Counts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/api/stock/[planId]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Individual Plan Stock Availability Check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/api/checkout/upi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Razorpay UPI QR Code / Payment Intent Generation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/api/checkout/upi/verify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UPI Payment Signature Verification &amp; Key Allocation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/api/checkout/paypal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PayPal v2 Order Creation Endpoint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/api/checkout/paypal/capture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PayPal Order Capture &amp; Key Dispatch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/api/webhooks/paypal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PayPal Asynchronous Webhook Verification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/api/webhooks/upi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Razorpay Asynchronous Webhook Verification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/api/restock-notify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Customer Restock Notification Waitlist Ingestion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/api/admin/keys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Secure Batch Key Ingestion &amp; Slot Allocation API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/api/admin/stats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Dynamic API</w:t>
            </w:r>
          </w:p>
        </w:tc>
        <w:tc>
          <w:tcPr>
            <w:tcW w:type="dxa" w:w="460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Administrative Inventory Metrics &amp; Revenue Analytics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/terms, /privacy, /refund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Static</w:t>
            </w:r>
          </w:p>
        </w:tc>
        <w:tc>
          <w:tcPr>
            <w:tcW w:type="dxa" w:w="460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8"/>
              </w:rPr>
              <w:t>Legal Compliance, Terms of Service &amp; Privacy Policy</w:t>
            </w:r>
          </w:p>
        </w:tc>
      </w:tr>
    </w:tbl>
    <w:p>
      <w:pPr>
        <w:spacing w:after="240"/>
      </w:pPr>
    </w:p>
    <w:p>
      <w:pPr>
        <w:keepNext/>
        <w:spacing w:before="360" w:after="120"/>
      </w:pPr>
      <w:r>
        <w:rPr>
          <w:rFonts w:ascii="Arial" w:hAnsi="Arial"/>
          <w:b/>
          <w:color w:val="0E7490"/>
          <w:sz w:val="30"/>
        </w:rPr>
        <w:t>9. Operational Runbook &amp; Deployment Guide</w:t>
      </w:r>
    </w:p>
    <w:p>
      <w:pPr>
        <w:spacing w:after="120" w:line="276" w:lineRule="auto"/>
      </w:pPr>
      <w:r>
        <w:rPr>
          <w:rFonts w:ascii="Arial" w:hAnsi="Arial"/>
          <w:color w:val="0F172A"/>
          <w:sz w:val="20"/>
        </w:rPr>
        <w:t>Instructions for running and deploying the production storefront: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Environment Configuration: </w:t>
      </w:r>
      <w:r>
        <w:rPr>
          <w:rFonts w:ascii="Arial" w:hAnsi="Arial"/>
          <w:color w:val="0F172A"/>
          <w:sz w:val="20"/>
        </w:rPr>
        <w:t>Ensure .env.local contains FIREBASE_PROJECT_ID, FIREBASE_CLIENT_EMAIL, FIREBASE_PRIVATE_KEY, KEY_ENCRYPTION_SECRET (32-byte hex), PAYPAL_CLIENT_ID, PAYPAL_CLIENT_SECRET, and RAZORPAY_KEY_ID / SECRET.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Production Build Command: </w:t>
      </w:r>
      <w:r>
        <w:rPr>
          <w:rFonts w:ascii="Arial" w:hAnsi="Arial"/>
          <w:color w:val="0F172A"/>
          <w:sz w:val="20"/>
        </w:rPr>
        <w:t>Execute 'npm run build' (validates all 15 routes, types, and bundle optimizations).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color w:val="0F172A"/>
          <w:sz w:val="20"/>
        </w:rPr>
        <w:t xml:space="preserve">Production Server Start: </w:t>
      </w:r>
      <w:r>
        <w:rPr>
          <w:rFonts w:ascii="Arial" w:hAnsi="Arial"/>
          <w:color w:val="0F172A"/>
          <w:sz w:val="20"/>
        </w:rPr>
        <w:t>Execute 'npm run start' on port 3000 behind NGINX or deploy seamlessly to Vercel.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