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Cryptographic Slot Partitioning: </w:t>
      </w:r>
      <w:r>
        <w:rPr>
          <w:rFonts w:ascii="Arial" w:hAnsi="Arial"/>
          <w:color w:val="0F172A"/>
          <w:sz w:val="19"/>
        </w:rPr>
        <w:t>Raw keys (3-device Patreon licenses) are safely segmented into 1-slot or 2-slot allocations. Keys are only retired from the vault when all 3 usable slots are consumed, guaranteeing zero device-sharing collisions between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Streamlined Order Completed Proofs: </w:t>
      </w:r>
      <w:r>
        <w:rPr>
          <w:rFonts w:ascii="Arial" w:hAnsi="Arial"/>
          <w:color w:val="0F172A"/>
          <w:sz w:val="19"/>
        </w:rPr>
        <w:t>Real-time purchase proofs are automatically dispatched upon payment capture to @AetheriaStoreOfficial with zero receipt clutter: '✅ ORDER COMPLETED 📦 30-Day PGSharp Key dispatched to dh***@gmail.com (or @sl*** for bot buyers) 🛡️ Key verified and activated successfully.' Includes a direct '⚡ Order via Bot' inline button.</w:t>
      </w:r>
    </w:p>
    <w:p>
      <w:pPr>
        <w:pStyle w:val="ListBullet"/>
        <w:spacing w:after="60" w:line="276" w:lineRule="auto"/>
      </w:pPr>
      <w:r>
        <w:rPr>
          <w:rFonts w:ascii="Arial" w:hAnsi="Arial"/>
          <w:b/>
          <w:color w:val="0F172A"/>
          <w:sz w:val="19"/>
        </w:rPr>
        <w:t xml:space="preserve">Dual Storefront Channel Synchronization: </w:t>
      </w:r>
      <w:r>
        <w:rPr>
          <w:rFonts w:ascii="Arial" w:hAnsi="Arial"/>
          <w:color w:val="0F172A"/>
          <w:sz w:val="19"/>
        </w:rPr>
        <w:t>Both Telegram bot purchases and website purchases (automated Bank SMS Bridge UPI, website UTR verification, PayPal Express capture, and PayPal IPN direct matching) are unified and trigger live social proofs in the channel automatically.</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Stealth 404 Camouflage ('Ghost Admin'): </w:t>
      </w:r>
      <w:r>
        <w:rPr>
          <w:rFonts w:ascii="Arial" w:hAnsi="Arial"/>
          <w:color w:val="0F172A"/>
          <w:sz w:val="19"/>
        </w:rPr>
        <w:t>Anyone navigating directly to /admin without authorization is presented with a convincing, realistic 404 Page Not Found error, keeping the admin portal invisible to automated bots and scanners.</w:t>
      </w:r>
    </w:p>
    <w:p>
      <w:pPr>
        <w:pStyle w:val="ListBullet"/>
        <w:spacing w:after="60" w:line="276" w:lineRule="auto"/>
      </w:pPr>
      <w:r>
        <w:rPr>
          <w:rFonts w:ascii="Arial" w:hAnsi="Arial"/>
          <w:b/>
          <w:color w:val="0F172A"/>
          <w:sz w:val="19"/>
        </w:rPr>
        <w:t xml:space="preserve">Dual Unlock Vectors: </w:t>
      </w:r>
      <w:r>
        <w:rPr>
          <w:rFonts w:ascii="Arial" w:hAnsi="Arial"/>
          <w:color w:val="0F172A"/>
          <w:sz w:val="19"/>
        </w:rPr>
        <w:t>Secret URL bookmark (?key=...) for 1-click device authorization with automatic address-bar cleanup, plus emergency unlock via triple-click or Ctrl+Shift+A keyboard shortcut.</w:t>
      </w:r>
    </w:p>
    <w:p>
      <w:pPr>
        <w:pStyle w:val="ListBullet"/>
        <w:spacing w:after="60" w:line="276" w:lineRule="auto"/>
      </w:pPr>
      <w:r>
        <w:rPr>
          <w:rFonts w:ascii="Arial" w:hAnsi="Arial"/>
          <w:b/>
          <w:color w:val="0F172A"/>
          <w:sz w:val="19"/>
        </w:rPr>
        <w:t xml:space="preserve">Anti-Brute-Force Rate Limiter: </w:t>
      </w:r>
      <w:r>
        <w:rPr>
          <w:rFonts w:ascii="Arial" w:hAnsi="Arial"/>
          <w:color w:val="0F172A"/>
          <w:sz w:val="19"/>
        </w:rPr>
        <w:t>Failed passcode attempts are tracked per client IP. Reaching 5 failed attempts locks the IP out for 15 minutes with HTTP 429 Too Many Requests.</w:t>
      </w:r>
    </w:p>
    <w:p>
      <w:pPr>
        <w:pStyle w:val="ListBullet"/>
        <w:spacing w:after="60" w:line="276" w:lineRule="auto"/>
      </w:pPr>
      <w:r>
        <w:rPr>
          <w:rFonts w:ascii="Arial" w:hAnsi="Arial"/>
          <w:b/>
          <w:color w:val="0F172A"/>
          <w:sz w:val="19"/>
        </w:rPr>
        <w:t xml:space="preserve">Timing-Safe Cryptographic Verification: </w:t>
      </w:r>
      <w:r>
        <w:rPr>
          <w:rFonts w:ascii="Arial" w:hAnsi="Arial"/>
          <w:color w:val="0F172A"/>
          <w:sz w:val="19"/>
        </w:rPr>
        <w:t>All admin operations use constant-time crypto.timingSafeEqual with SHA-256 digests.</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17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/api/restock-notify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