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e7c7b"/>
          <w:sz w:val="20"/>
          <w:szCs w:val="20"/>
          <w:rtl w:val="0"/>
        </w:rPr>
        <w:t xml:space="preserve">HACKATHON PROBLEM STATEMENT</w:t>
      </w:r>
      <w:r w:rsidDel="00000000" w:rsidR="00000000" w:rsidRPr="00000000">
        <w:rPr>
          <w:rtl w:val="0"/>
        </w:rPr>
      </w:r>
    </w:p>
    <w:p w:rsidR="00000000" w:rsidDel="00000000" w:rsidP="00000000" w:rsidRDefault="00000000" w:rsidRPr="00000000" w14:paraId="00000002">
      <w:pPr>
        <w:spacing w:after="8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f3a5f"/>
          <w:sz w:val="40"/>
          <w:szCs w:val="40"/>
          <w:rtl w:val="0"/>
        </w:rPr>
        <w:t xml:space="preserve">AI-Powered Glaucoma Risk Prediction</w:t>
      </w:r>
      <w:r w:rsidDel="00000000" w:rsidR="00000000" w:rsidRPr="00000000">
        <w:rPr>
          <w:rtl w:val="0"/>
        </w:rPr>
      </w:r>
    </w:p>
    <w:p w:rsidR="00000000" w:rsidDel="00000000" w:rsidP="00000000" w:rsidRDefault="00000000" w:rsidRPr="00000000" w14:paraId="00000003">
      <w:pPr>
        <w:spacing w:after="240" w:lineRule="auto"/>
        <w:jc w:val="center"/>
        <w:rPr>
          <w:rFonts w:ascii="Times New Roman" w:cs="Times New Roman" w:eastAsia="Times New Roman" w:hAnsi="Times New Roman"/>
          <w:b w:val="1"/>
          <w:bCs w:val="1"/>
          <w:i w:val="1"/>
          <w:iCs w:val="1"/>
          <w:color w:val="a61c00"/>
          <w:sz w:val="24"/>
          <w:szCs w:val="24"/>
        </w:rPr>
      </w:pPr>
      <w:r w:rsidDel="00000000" w:rsidR="00000000" w:rsidRPr="00000000">
        <w:rPr>
          <w:rFonts w:ascii="Times New Roman" w:cs="Times New Roman" w:eastAsia="Times New Roman" w:hAnsi="Times New Roman"/>
          <w:i w:val="1"/>
          <w:iCs w:val="1"/>
          <w:color w:val="000000"/>
          <w:rtl w:val="0"/>
        </w:rPr>
        <w:t xml:space="preserve">Clinical Ophthalmology  ·  Risk Stratification  ·  Tabular Machine Learning  ·  </w:t>
      </w:r>
      <w:r w:rsidDel="00000000" w:rsidR="00000000" w:rsidRPr="00000000">
        <w:rPr>
          <w:rFonts w:ascii="Times New Roman" w:cs="Times New Roman" w:eastAsia="Times New Roman" w:hAnsi="Times New Roman"/>
          <w:b w:val="1"/>
          <w:bCs w:val="1"/>
          <w:i w:val="1"/>
          <w:iCs w:val="1"/>
          <w:color w:val="000000"/>
          <w:rtl w:val="0"/>
        </w:rPr>
        <w:t xml:space="preserve">Difficulty:</w:t>
      </w:r>
      <w:r w:rsidDel="00000000" w:rsidR="00000000" w:rsidRPr="00000000">
        <w:rPr>
          <w:rFonts w:ascii="Times New Roman" w:cs="Times New Roman" w:eastAsia="Times New Roman" w:hAnsi="Times New Roman"/>
          <w:i w:val="1"/>
          <w:iCs w:val="1"/>
          <w:color w:val="000000"/>
          <w:rtl w:val="0"/>
        </w:rPr>
        <w:t xml:space="preserve"> </w:t>
      </w:r>
      <w:r w:rsidDel="00000000" w:rsidR="00000000" w:rsidRPr="00000000">
        <w:rPr>
          <w:rFonts w:ascii="Times New Roman" w:cs="Times New Roman" w:eastAsia="Times New Roman" w:hAnsi="Times New Roman"/>
          <w:b w:val="1"/>
          <w:bCs w:val="1"/>
          <w:i w:val="1"/>
          <w:iCs w:val="1"/>
          <w:color w:val="a61c00"/>
          <w:rtl w:val="0"/>
        </w:rPr>
        <w:t xml:space="preserve">Hard</w:t>
      </w:r>
      <w:r w:rsidDel="00000000" w:rsidR="00000000" w:rsidRPr="00000000">
        <w:rPr>
          <w:rtl w:val="0"/>
        </w:rPr>
      </w:r>
    </w:p>
    <w:p w:rsidR="00000000" w:rsidDel="00000000" w:rsidP="00000000" w:rsidRDefault="00000000" w:rsidRPr="00000000" w14:paraId="00000004">
      <w:pPr>
        <w:pBdr>
          <w:bottom w:color="0e7c7b" w:space="4" w:sz="12" w:val="single"/>
        </w:pBdr>
        <w:spacing w:after="16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e7c7b"/>
          <w:sz w:val="28"/>
          <w:szCs w:val="28"/>
          <w:rtl w:val="0"/>
        </w:rPr>
        <w:t xml:space="preserve">1.  </w:t>
      </w:r>
      <w:r w:rsidDel="00000000" w:rsidR="00000000" w:rsidRPr="00000000">
        <w:rPr>
          <w:rFonts w:ascii="Times New Roman" w:cs="Times New Roman" w:eastAsia="Times New Roman" w:hAnsi="Times New Roman"/>
          <w:b w:val="1"/>
          <w:bCs w:val="1"/>
          <w:i w:val="0"/>
          <w:iCs w:val="0"/>
          <w:color w:val="1f3a5f"/>
          <w:sz w:val="28"/>
          <w:szCs w:val="28"/>
          <w:rtl w:val="0"/>
        </w:rPr>
        <w:t xml:space="preserve">Overview</w:t>
      </w:r>
      <w:r w:rsidDel="00000000" w:rsidR="00000000" w:rsidRPr="00000000">
        <w:rPr>
          <w:rtl w:val="0"/>
        </w:rPr>
      </w:r>
    </w:p>
    <w:p w:rsidR="00000000" w:rsidDel="00000000" w:rsidP="00000000" w:rsidRDefault="00000000" w:rsidRPr="00000000" w14:paraId="00000005">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2"/>
          <w:szCs w:val="22"/>
          <w:rtl w:val="0"/>
        </w:rPr>
        <w:t xml:space="preserve">Build a machine learning model that analyzes a patient's clinical, ophthalmic, and demographic data from a routine eye examination and predicts glaucoma risk. Submit your trained model as model.pkl and deploy a secured inference API that loads the same model.</w:t>
      </w:r>
      <w:r w:rsidDel="00000000" w:rsidR="00000000" w:rsidRPr="00000000">
        <w:rPr>
          <w:rtl w:val="0"/>
        </w:rPr>
      </w:r>
    </w:p>
    <w:p w:rsidR="00000000" w:rsidDel="00000000" w:rsidP="00000000" w:rsidRDefault="00000000" w:rsidRPr="00000000" w14:paraId="00000006">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2"/>
          <w:szCs w:val="22"/>
          <w:rtl w:val="0"/>
        </w:rPr>
        <w:t xml:space="preserve">Evaluation is performed by calling your API with </w:t>
      </w:r>
      <w:r w:rsidDel="00000000" w:rsidR="00000000" w:rsidRPr="00000000">
        <w:rPr>
          <w:rFonts w:ascii="Times New Roman" w:cs="Times New Roman" w:eastAsia="Times New Roman" w:hAnsi="Times New Roman"/>
          <w:rtl w:val="0"/>
        </w:rPr>
        <w:t xml:space="preserve">inputFile</w:t>
      </w:r>
      <w:r w:rsidDel="00000000" w:rsidR="00000000" w:rsidRPr="00000000">
        <w:rPr>
          <w:rFonts w:ascii="Times New Roman" w:cs="Times New Roman" w:eastAsia="Times New Roman" w:hAnsi="Times New Roman"/>
          <w:i w:val="0"/>
          <w:iCs w:val="0"/>
          <w:color w:val="222222"/>
          <w:sz w:val="22"/>
          <w:szCs w:val="22"/>
          <w:rtl w:val="0"/>
        </w:rPr>
        <w:t xml:space="preserve">. Your service must download the CSV from that URL, run inference on every row, and return predictions as CSV. The submitted .pkl is required for basic artifact verification (loadability). Participants do not submit an evaluation script.</w:t>
      </w:r>
      <w:r w:rsidDel="00000000" w:rsidR="00000000" w:rsidRPr="00000000">
        <w:rPr>
          <w:rtl w:val="0"/>
        </w:rPr>
      </w:r>
    </w:p>
    <w:p w:rsidR="00000000" w:rsidDel="00000000" w:rsidP="00000000" w:rsidRDefault="00000000" w:rsidRPr="00000000" w14:paraId="00000007">
      <w:pPr>
        <w:spacing w:after="1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b23b3b"/>
          <w:sz w:val="20"/>
          <w:szCs w:val="20"/>
          <w:rtl w:val="0"/>
        </w:rPr>
        <w:t xml:space="preserve">IMPORTANT:  </w:t>
      </w:r>
      <w:r w:rsidDel="00000000" w:rsidR="00000000" w:rsidRPr="00000000">
        <w:rPr>
          <w:rFonts w:ascii="Times New Roman" w:cs="Times New Roman" w:eastAsia="Times New Roman" w:hAnsi="Times New Roman"/>
          <w:i w:val="0"/>
          <w:iCs w:val="0"/>
          <w:color w:val="222222"/>
          <w:sz w:val="21"/>
          <w:szCs w:val="21"/>
          <w:rtl w:val="0"/>
        </w:rPr>
        <w:t xml:space="preserve">Submissions that do not follow this specification cannot be scored, regardless of model accuracy.</w:t>
      </w:r>
      <w:r w:rsidDel="00000000" w:rsidR="00000000" w:rsidRPr="00000000">
        <w:rPr>
          <w:rtl w:val="0"/>
        </w:rPr>
      </w:r>
    </w:p>
    <w:p w:rsidR="00000000" w:rsidDel="00000000" w:rsidP="00000000" w:rsidRDefault="00000000" w:rsidRPr="00000000" w14:paraId="00000008">
      <w:pPr>
        <w:pBdr>
          <w:bottom w:color="0e7c7b" w:space="4" w:sz="12" w:val="single"/>
        </w:pBdr>
        <w:spacing w:after="16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e7c7b"/>
          <w:sz w:val="28"/>
          <w:szCs w:val="28"/>
          <w:rtl w:val="0"/>
        </w:rPr>
        <w:t xml:space="preserve">2.  </w:t>
      </w:r>
      <w:r w:rsidDel="00000000" w:rsidR="00000000" w:rsidRPr="00000000">
        <w:rPr>
          <w:rFonts w:ascii="Times New Roman" w:cs="Times New Roman" w:eastAsia="Times New Roman" w:hAnsi="Times New Roman"/>
          <w:b w:val="1"/>
          <w:bCs w:val="1"/>
          <w:i w:val="0"/>
          <w:iCs w:val="0"/>
          <w:color w:val="1f3a5f"/>
          <w:sz w:val="28"/>
          <w:szCs w:val="28"/>
          <w:rtl w:val="0"/>
        </w:rPr>
        <w:t xml:space="preserve">Problem Statement</w:t>
      </w:r>
      <w:r w:rsidDel="00000000" w:rsidR="00000000" w:rsidRPr="00000000">
        <w:rPr>
          <w:rtl w:val="0"/>
        </w:rPr>
      </w:r>
    </w:p>
    <w:p w:rsidR="00000000" w:rsidDel="00000000" w:rsidP="00000000" w:rsidRDefault="00000000" w:rsidRPr="00000000" w14:paraId="0000000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2"/>
          <w:szCs w:val="22"/>
          <w:rtl w:val="0"/>
        </w:rPr>
        <w:t xml:space="preserve">Glaucoma is a leading cause of irreversible vision loss, often progressing silently until significant optic nerve damage has occurred. Clinicians routinely collect demographic information, intraocular pressure, cup-to-disc ratio, visual field findings, imaging results, and medical history during eye examinations — but manually triaging which patients need urgent follow-up does not scale across large patient volumes.</w:t>
      </w:r>
      <w:r w:rsidDel="00000000" w:rsidR="00000000" w:rsidRPr="00000000">
        <w:rPr>
          <w:rtl w:val="0"/>
        </w:rPr>
      </w:r>
    </w:p>
    <w:p w:rsidR="00000000" w:rsidDel="00000000" w:rsidP="00000000" w:rsidRDefault="00000000" w:rsidRPr="00000000" w14:paraId="0000000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2"/>
          <w:szCs w:val="22"/>
          <w:rtl w:val="0"/>
        </w:rPr>
        <w:t xml:space="preserve">The objective is to develop an automated system that accepts a patient's examination profile and predicts whether glaucoma is present, enabling faster screening, more consistent risk assessment, and clearer prioritization of patients who need specialist review.</w:t>
      </w:r>
      <w:r w:rsidDel="00000000" w:rsidR="00000000" w:rsidRPr="00000000">
        <w:rPr>
          <w:rtl w:val="0"/>
        </w:rPr>
      </w:r>
    </w:p>
    <w:p w:rsidR="00000000" w:rsidDel="00000000" w:rsidP="00000000" w:rsidRDefault="00000000" w:rsidRPr="00000000" w14:paraId="0000000B">
      <w:pPr>
        <w:spacing w:after="12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f3a5f"/>
          <w:sz w:val="24"/>
          <w:szCs w:val="24"/>
          <w:rtl w:val="0"/>
        </w:rPr>
        <w:t xml:space="preserve">2.1  Goals</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Automate glaucoma risk screening from structured clinical examination data</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Provide a confidence score and risk band, not just a binary label</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Support triage decisions without replacing qualified ophthalmologist judgment</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Package the solution as a reusable, API-driven service</w:t>
      </w:r>
    </w:p>
    <w:p w:rsidR="00000000" w:rsidDel="00000000" w:rsidP="00000000" w:rsidRDefault="00000000" w:rsidRPr="00000000" w14:paraId="00000010">
      <w:pPr>
        <w:pBdr>
          <w:bottom w:color="0e7c7b" w:space="4" w:sz="12" w:val="single"/>
        </w:pBdr>
        <w:spacing w:after="16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e7c7b"/>
          <w:sz w:val="28"/>
          <w:szCs w:val="28"/>
          <w:rtl w:val="0"/>
        </w:rPr>
        <w:t xml:space="preserve">3.  </w:t>
      </w:r>
      <w:r w:rsidDel="00000000" w:rsidR="00000000" w:rsidRPr="00000000">
        <w:rPr>
          <w:rFonts w:ascii="Times New Roman" w:cs="Times New Roman" w:eastAsia="Times New Roman" w:hAnsi="Times New Roman"/>
          <w:b w:val="1"/>
          <w:bCs w:val="1"/>
          <w:i w:val="0"/>
          <w:iCs w:val="0"/>
          <w:color w:val="1f3a5f"/>
          <w:sz w:val="28"/>
          <w:szCs w:val="28"/>
          <w:rtl w:val="0"/>
        </w:rPr>
        <w:t xml:space="preserve">Dataset Description</w:t>
      </w:r>
      <w:r w:rsidDel="00000000" w:rsidR="00000000" w:rsidRPr="00000000">
        <w:rPr>
          <w:rtl w:val="0"/>
        </w:rPr>
      </w:r>
    </w:p>
    <w:p w:rsidR="00000000" w:rsidDel="00000000" w:rsidP="00000000" w:rsidRDefault="00000000" w:rsidRPr="00000000" w14:paraId="0000001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2"/>
          <w:szCs w:val="22"/>
          <w:rtl w:val="0"/>
        </w:rPr>
        <w:t xml:space="preserve">Participants receive train.csv for model development</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color w:val="000000"/>
          <w:rtl w:val="0"/>
        </w:rPr>
        <w:t xml:space="preserve">test.csv</w:t>
      </w:r>
      <w:r w:rsidDel="00000000" w:rsidR="00000000" w:rsidRPr="00000000">
        <w:rPr>
          <w:rFonts w:ascii="Times New Roman" w:cs="Times New Roman" w:eastAsia="Times New Roman" w:hAnsi="Times New Roman"/>
          <w:rtl w:val="0"/>
        </w:rPr>
        <w:t xml:space="preserve"> for inference.</w:t>
      </w:r>
      <w:r w:rsidDel="00000000" w:rsidR="00000000" w:rsidRPr="00000000">
        <w:rPr>
          <w:rFonts w:ascii="Times New Roman" w:cs="Times New Roman" w:eastAsia="Times New Roman" w:hAnsi="Times New Roman"/>
          <w:i w:val="0"/>
          <w:iCs w:val="0"/>
          <w:color w:val="222222"/>
          <w:sz w:val="22"/>
          <w:szCs w:val="22"/>
          <w:rtl w:val="0"/>
        </w:rPr>
        <w:t xml:space="preserve"> Use only the files distributed by the organizers. Final evaluation uses a held-out CSV that is not provided as labeled ground truth.</w:t>
      </w:r>
      <w:r w:rsidDel="00000000" w:rsidR="00000000" w:rsidRPr="00000000">
        <w:rPr>
          <w:rtl w:val="0"/>
        </w:rPr>
      </w:r>
    </w:p>
    <w:p w:rsidR="00000000" w:rsidDel="00000000" w:rsidP="00000000" w:rsidRDefault="00000000" w:rsidRPr="00000000" w14:paraId="00000012">
      <w:pPr>
        <w:spacing w:after="12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f3a5f"/>
          <w:sz w:val="24"/>
          <w:szCs w:val="24"/>
          <w:rtl w:val="0"/>
        </w:rPr>
        <w:t xml:space="preserve">3.1  Feature Columns</w:t>
      </w:r>
      <w:r w:rsidDel="00000000" w:rsidR="00000000" w:rsidRPr="00000000">
        <w:rPr>
          <w:rtl w:val="0"/>
        </w:rPr>
      </w:r>
    </w:p>
    <w:tbl>
      <w:tblPr>
        <w:tblStyle w:val="Table1"/>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1f3a5f" w:val="clear"/>
          </w:tcPr>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Field</w:t>
            </w:r>
            <w:r w:rsidDel="00000000" w:rsidR="00000000" w:rsidRPr="00000000">
              <w:rPr>
                <w:rtl w:val="0"/>
              </w:rPr>
            </w:r>
          </w:p>
        </w:tc>
        <w:tc>
          <w:tcPr>
            <w:shd w:fill="1f3a5f" w:val="clear"/>
          </w:tcPr>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Type</w:t>
            </w:r>
            <w:r w:rsidDel="00000000" w:rsidR="00000000" w:rsidRPr="00000000">
              <w:rPr>
                <w:rtl w:val="0"/>
              </w:rPr>
            </w:r>
          </w:p>
        </w:tc>
        <w:tc>
          <w:tcPr>
            <w:shd w:fill="1f3a5f" w:val="clear"/>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Patient ID</w:t>
            </w:r>
            <w:r w:rsidDel="00000000" w:rsidR="00000000" w:rsidRPr="00000000">
              <w:rPr>
                <w:rtl w:val="0"/>
              </w:rPr>
            </w:r>
          </w:p>
        </w:tc>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int / string</w:t>
            </w:r>
            <w:r w:rsidDel="00000000" w:rsidR="00000000" w:rsidRPr="00000000">
              <w:rPr>
                <w:rtl w:val="0"/>
              </w:rPr>
            </w:r>
          </w:p>
        </w:tc>
        <w:tc>
          <w:tcPr/>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Patient identifier. May appear in CSV for row tracking; do not use as a predictive feature.</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Age</w:t>
            </w:r>
            <w:r w:rsidDel="00000000" w:rsidR="00000000" w:rsidRPr="00000000">
              <w:rPr>
                <w:rtl w:val="0"/>
              </w:rPr>
            </w:r>
          </w:p>
        </w:tc>
        <w:tc>
          <w:tcPr>
            <w:shd w:fill="f3f6f9" w:val="clear"/>
          </w:tcPr>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integer</w:t>
            </w:r>
            <w:r w:rsidDel="00000000" w:rsidR="00000000" w:rsidRPr="00000000">
              <w:rPr>
                <w:rtl w:val="0"/>
              </w:rPr>
            </w:r>
          </w:p>
        </w:tc>
        <w:tc>
          <w:tcPr>
            <w:shd w:fill="f3f6f9" w:val="clear"/>
          </w:tcPr>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Patient age in years.</w:t>
            </w:r>
            <w:r w:rsidDel="00000000" w:rsidR="00000000" w:rsidRPr="00000000">
              <w:rPr>
                <w:rtl w:val="0"/>
              </w:rPr>
            </w:r>
          </w:p>
        </w:tc>
      </w:tr>
      <w:tr>
        <w:trPr>
          <w:cantSplit w:val="0"/>
          <w:tblHeader w:val="0"/>
        </w:trPr>
        <w:tc>
          <w:tcPr/>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Gender</w:t>
            </w:r>
            <w:r w:rsidDel="00000000" w:rsidR="00000000" w:rsidRPr="00000000">
              <w:rPr>
                <w:rtl w:val="0"/>
              </w:rPr>
            </w:r>
          </w:p>
        </w:tc>
        <w:tc>
          <w:tcPr/>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category</w:t>
            </w:r>
            <w:r w:rsidDel="00000000" w:rsidR="00000000" w:rsidRPr="00000000">
              <w:rPr>
                <w:rtl w:val="0"/>
              </w:rPr>
            </w:r>
          </w:p>
        </w:tc>
        <w:tc>
          <w:tcPr/>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Patient gender.</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Visual Acuity Measurements</w:t>
            </w:r>
            <w:r w:rsidDel="00000000" w:rsidR="00000000" w:rsidRPr="00000000">
              <w:rPr>
                <w:rtl w:val="0"/>
              </w:rPr>
            </w:r>
          </w:p>
        </w:tc>
        <w:tc>
          <w:tcPr>
            <w:shd w:fill="f3f6f9" w:val="clear"/>
          </w:tcPr>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float / category</w:t>
            </w:r>
            <w:r w:rsidDel="00000000" w:rsidR="00000000" w:rsidRPr="00000000">
              <w:rPr>
                <w:rtl w:val="0"/>
              </w:rPr>
            </w:r>
          </w:p>
        </w:tc>
        <w:tc>
          <w:tcPr>
            <w:shd w:fill="f3f6f9" w:val="clear"/>
          </w:tcPr>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Visual acuity test result.</w:t>
            </w:r>
            <w:r w:rsidDel="00000000" w:rsidR="00000000" w:rsidRPr="00000000">
              <w:rPr>
                <w:rtl w:val="0"/>
              </w:rPr>
            </w:r>
          </w:p>
        </w:tc>
      </w:tr>
      <w:tr>
        <w:trPr>
          <w:cantSplit w:val="0"/>
          <w:tblHeader w:val="0"/>
        </w:trPr>
        <w:tc>
          <w:tcPr/>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Intraocular Pressure (IOP)</w:t>
            </w:r>
            <w:r w:rsidDel="00000000" w:rsidR="00000000" w:rsidRPr="00000000">
              <w:rPr>
                <w:rtl w:val="0"/>
              </w:rPr>
            </w:r>
          </w:p>
        </w:tc>
        <w:tc>
          <w:tcPr/>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float</w:t>
            </w:r>
            <w:r w:rsidDel="00000000" w:rsidR="00000000" w:rsidRPr="00000000">
              <w:rPr>
                <w:rtl w:val="0"/>
              </w:rPr>
            </w:r>
          </w:p>
        </w:tc>
        <w:tc>
          <w:tcPr/>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Eye pressure in mmHg — primary glaucoma risk indicator.</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Cup-to-Disc Ratio (CDR)</w:t>
            </w:r>
            <w:r w:rsidDel="00000000" w:rsidR="00000000" w:rsidRPr="00000000">
              <w:rPr>
                <w:rtl w:val="0"/>
              </w:rPr>
            </w:r>
          </w:p>
        </w:tc>
        <w:tc>
          <w:tcPr>
            <w:shd w:fill="f3f6f9" w:val="clear"/>
          </w:tcPr>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float</w:t>
            </w:r>
            <w:r w:rsidDel="00000000" w:rsidR="00000000" w:rsidRPr="00000000">
              <w:rPr>
                <w:rtl w:val="0"/>
              </w:rPr>
            </w:r>
          </w:p>
        </w:tc>
        <w:tc>
          <w:tcPr>
            <w:shd w:fill="f3f6f9" w:val="clear"/>
          </w:tcPr>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Optic cup-to-disc ratio; elevated CDR is a key structural indicator.</w:t>
            </w:r>
            <w:r w:rsidDel="00000000" w:rsidR="00000000" w:rsidRPr="00000000">
              <w:rPr>
                <w:rtl w:val="0"/>
              </w:rPr>
            </w:r>
          </w:p>
        </w:tc>
      </w:tr>
      <w:tr>
        <w:trPr>
          <w:cantSplit w:val="0"/>
          <w:tblHeader w:val="0"/>
        </w:trPr>
        <w:tc>
          <w:tcPr/>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Family History</w:t>
            </w:r>
            <w:r w:rsidDel="00000000" w:rsidR="00000000" w:rsidRPr="00000000">
              <w:rPr>
                <w:rtl w:val="0"/>
              </w:rPr>
            </w:r>
          </w:p>
        </w:tc>
        <w:tc>
          <w:tcPr/>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category</w:t>
            </w:r>
            <w:r w:rsidDel="00000000" w:rsidR="00000000" w:rsidRPr="00000000">
              <w:rPr>
                <w:rtl w:val="0"/>
              </w:rPr>
            </w:r>
          </w:p>
        </w:tc>
        <w:tc>
          <w:tcPr/>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Family history of glaucoma (e.g. Y/N).</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Medical History</w:t>
            </w:r>
            <w:r w:rsidDel="00000000" w:rsidR="00000000" w:rsidRPr="00000000">
              <w:rPr>
                <w:rtl w:val="0"/>
              </w:rPr>
            </w:r>
          </w:p>
        </w:tc>
        <w:tc>
          <w:tcPr>
            <w:shd w:fill="f3f6f9" w:val="clear"/>
          </w:tcPr>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category</w:t>
            </w:r>
            <w:r w:rsidDel="00000000" w:rsidR="00000000" w:rsidRPr="00000000">
              <w:rPr>
                <w:rtl w:val="0"/>
              </w:rPr>
            </w:r>
          </w:p>
        </w:tc>
        <w:tc>
          <w:tcPr>
            <w:shd w:fill="f3f6f9" w:val="clear"/>
          </w:tcPr>
          <w:p w:rsidR="00000000" w:rsidDel="00000000" w:rsidP="00000000" w:rsidRDefault="00000000" w:rsidRPr="00000000" w14:paraId="0000002D">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Relevant systemic conditions.</w:t>
            </w:r>
            <w:r w:rsidDel="00000000" w:rsidR="00000000" w:rsidRPr="00000000">
              <w:rPr>
                <w:rtl w:val="0"/>
              </w:rPr>
            </w:r>
          </w:p>
        </w:tc>
      </w:tr>
      <w:tr>
        <w:trPr>
          <w:cantSplit w:val="0"/>
          <w:tblHeader w:val="0"/>
        </w:trPr>
        <w:tc>
          <w:tcPr/>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Medication Usage</w:t>
            </w:r>
            <w:r w:rsidDel="00000000" w:rsidR="00000000" w:rsidRPr="00000000">
              <w:rPr>
                <w:rtl w:val="0"/>
              </w:rPr>
            </w:r>
          </w:p>
        </w:tc>
        <w:tc>
          <w:tcPr/>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category</w:t>
            </w:r>
            <w:r w:rsidDel="00000000" w:rsidR="00000000" w:rsidRPr="00000000">
              <w:rPr>
                <w:rtl w:val="0"/>
              </w:rPr>
            </w:r>
          </w:p>
        </w:tc>
        <w:tc>
          <w:tcPr/>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Current medications relevant to eye pressure or systemic risk.</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Visual Field Test Results</w:t>
            </w:r>
            <w:r w:rsidDel="00000000" w:rsidR="00000000" w:rsidRPr="00000000">
              <w:rPr>
                <w:rtl w:val="0"/>
              </w:rPr>
            </w:r>
          </w:p>
        </w:tc>
        <w:tc>
          <w:tcPr>
            <w:shd w:fill="f3f6f9" w:val="clear"/>
          </w:tcPr>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category</w:t>
            </w:r>
            <w:r w:rsidDel="00000000" w:rsidR="00000000" w:rsidRPr="00000000">
              <w:rPr>
                <w:rtl w:val="0"/>
              </w:rPr>
            </w:r>
          </w:p>
        </w:tc>
        <w:tc>
          <w:tcPr>
            <w:shd w:fill="f3f6f9" w:val="clear"/>
          </w:tcPr>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Perimetry / visual field outcome.</w:t>
            </w:r>
            <w:r w:rsidDel="00000000" w:rsidR="00000000" w:rsidRPr="00000000">
              <w:rPr>
                <w:rtl w:val="0"/>
              </w:rPr>
            </w:r>
          </w:p>
        </w:tc>
      </w:tr>
      <w:tr>
        <w:trPr>
          <w:cantSplit w:val="0"/>
          <w:tblHeader w:val="0"/>
        </w:trPr>
        <w:tc>
          <w:tcPr/>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Optical Coherence Tomography (OCT) Results</w:t>
            </w:r>
            <w:r w:rsidDel="00000000" w:rsidR="00000000" w:rsidRPr="00000000">
              <w:rPr>
                <w:rtl w:val="0"/>
              </w:rPr>
            </w:r>
          </w:p>
        </w:tc>
        <w:tc>
          <w:tcPr/>
          <w:p w:rsidR="00000000" w:rsidDel="00000000" w:rsidP="00000000" w:rsidRDefault="00000000" w:rsidRPr="00000000" w14:paraId="00000035">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category</w:t>
            </w:r>
            <w:r w:rsidDel="00000000" w:rsidR="00000000" w:rsidRPr="00000000">
              <w:rPr>
                <w:rtl w:val="0"/>
              </w:rPr>
            </w:r>
          </w:p>
        </w:tc>
        <w:tc>
          <w:tcPr/>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OCT nerve fiber layer finding.</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Pachymetry</w:t>
            </w:r>
            <w:r w:rsidDel="00000000" w:rsidR="00000000" w:rsidRPr="00000000">
              <w:rPr>
                <w:rtl w:val="0"/>
              </w:rPr>
            </w:r>
          </w:p>
        </w:tc>
        <w:tc>
          <w:tcPr>
            <w:shd w:fill="f3f6f9" w:val="clear"/>
          </w:tcPr>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float</w:t>
            </w:r>
            <w:r w:rsidDel="00000000" w:rsidR="00000000" w:rsidRPr="00000000">
              <w:rPr>
                <w:rtl w:val="0"/>
              </w:rPr>
            </w:r>
          </w:p>
        </w:tc>
        <w:tc>
          <w:tcPr>
            <w:shd w:fill="f3f6f9" w:val="clear"/>
          </w:tcPr>
          <w:p w:rsidR="00000000" w:rsidDel="00000000" w:rsidP="00000000" w:rsidRDefault="00000000" w:rsidRPr="00000000" w14:paraId="00000039">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Central corneal thickness (µm).</w:t>
            </w:r>
            <w:r w:rsidDel="00000000" w:rsidR="00000000" w:rsidRPr="00000000">
              <w:rPr>
                <w:rtl w:val="0"/>
              </w:rPr>
            </w:r>
          </w:p>
        </w:tc>
      </w:tr>
      <w:tr>
        <w:trPr>
          <w:cantSplit w:val="0"/>
          <w:tblHeader w:val="0"/>
        </w:trPr>
        <w:tc>
          <w:tcPr/>
          <w:p w:rsidR="00000000" w:rsidDel="00000000" w:rsidP="00000000" w:rsidRDefault="00000000" w:rsidRPr="00000000" w14:paraId="0000003A">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Cataract Status</w:t>
            </w:r>
            <w:r w:rsidDel="00000000" w:rsidR="00000000" w:rsidRPr="00000000">
              <w:rPr>
                <w:rtl w:val="0"/>
              </w:rPr>
            </w:r>
          </w:p>
        </w:tc>
        <w:tc>
          <w:tcPr/>
          <w:p w:rsidR="00000000" w:rsidDel="00000000" w:rsidP="00000000" w:rsidRDefault="00000000" w:rsidRPr="00000000" w14:paraId="0000003B">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category</w:t>
            </w:r>
            <w:r w:rsidDel="00000000" w:rsidR="00000000" w:rsidRPr="00000000">
              <w:rPr>
                <w:rtl w:val="0"/>
              </w:rPr>
            </w:r>
          </w:p>
        </w:tc>
        <w:tc>
          <w:tcPr/>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Cataract presence or stage.</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3D">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Angle Closure Status</w:t>
            </w:r>
            <w:r w:rsidDel="00000000" w:rsidR="00000000" w:rsidRPr="00000000">
              <w:rPr>
                <w:rtl w:val="0"/>
              </w:rPr>
            </w:r>
          </w:p>
        </w:tc>
        <w:tc>
          <w:tcPr>
            <w:shd w:fill="f3f6f9" w:val="clear"/>
          </w:tcPr>
          <w:p w:rsidR="00000000" w:rsidDel="00000000" w:rsidP="00000000" w:rsidRDefault="00000000" w:rsidRPr="00000000" w14:paraId="0000003E">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category</w:t>
            </w:r>
            <w:r w:rsidDel="00000000" w:rsidR="00000000" w:rsidRPr="00000000">
              <w:rPr>
                <w:rtl w:val="0"/>
              </w:rPr>
            </w:r>
          </w:p>
        </w:tc>
        <w:tc>
          <w:tcPr>
            <w:shd w:fill="f3f6f9" w:val="clear"/>
          </w:tcPr>
          <w:p w:rsidR="00000000" w:rsidDel="00000000" w:rsidP="00000000" w:rsidRDefault="00000000" w:rsidRPr="00000000" w14:paraId="0000003F">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Open-angle / angle-closure / narrow-angle finding.</w:t>
            </w: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Visual Symptoms</w:t>
            </w:r>
            <w:r w:rsidDel="00000000" w:rsidR="00000000" w:rsidRPr="00000000">
              <w:rPr>
                <w:rtl w:val="0"/>
              </w:rPr>
            </w:r>
          </w:p>
        </w:tc>
        <w:tc>
          <w:tcPr/>
          <w:p w:rsidR="00000000" w:rsidDel="00000000" w:rsidP="00000000" w:rsidRDefault="00000000" w:rsidRPr="00000000" w14:paraId="00000041">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category / text</w:t>
            </w:r>
            <w:r w:rsidDel="00000000" w:rsidR="00000000" w:rsidRPr="00000000">
              <w:rPr>
                <w:rtl w:val="0"/>
              </w:rPr>
            </w:r>
          </w:p>
        </w:tc>
        <w:tc>
          <w:tcPr/>
          <w:p w:rsidR="00000000" w:rsidDel="00000000" w:rsidP="00000000" w:rsidRDefault="00000000" w:rsidRPr="00000000" w14:paraId="00000042">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Reported symptoms (e.g. blurred vision, halos, eye pain).</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43">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Diagnosis</w:t>
            </w:r>
            <w:r w:rsidDel="00000000" w:rsidR="00000000" w:rsidRPr="00000000">
              <w:rPr>
                <w:rtl w:val="0"/>
              </w:rPr>
            </w:r>
          </w:p>
        </w:tc>
        <w:tc>
          <w:tcPr>
            <w:shd w:fill="f3f6f9" w:val="clear"/>
          </w:tcPr>
          <w:p w:rsidR="00000000" w:rsidDel="00000000" w:rsidP="00000000" w:rsidRDefault="00000000" w:rsidRPr="00000000" w14:paraId="00000044">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category</w:t>
            </w:r>
            <w:r w:rsidDel="00000000" w:rsidR="00000000" w:rsidRPr="00000000">
              <w:rPr>
                <w:rtl w:val="0"/>
              </w:rPr>
            </w:r>
          </w:p>
        </w:tc>
        <w:tc>
          <w:tcPr>
            <w:shd w:fill="f3f6f9" w:val="clear"/>
          </w:tcPr>
          <w:p w:rsidR="00000000" w:rsidDel="00000000" w:rsidP="00000000" w:rsidRDefault="00000000" w:rsidRPr="00000000" w14:paraId="00000045">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Training label only: Glaucoma or No Glaucoma. Not present at inference.</w:t>
            </w:r>
            <w:r w:rsidDel="00000000" w:rsidR="00000000" w:rsidRPr="00000000">
              <w:rPr>
                <w:rtl w:val="0"/>
              </w:rPr>
            </w:r>
          </w:p>
        </w:tc>
      </w:tr>
      <w:tr>
        <w:trPr>
          <w:cantSplit w:val="0"/>
          <w:tblHeader w:val="0"/>
        </w:trPr>
        <w:tc>
          <w:tcPr/>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Glaucoma Type</w:t>
            </w:r>
            <w:r w:rsidDel="00000000" w:rsidR="00000000" w:rsidRPr="00000000">
              <w:rPr>
                <w:rtl w:val="0"/>
              </w:rPr>
            </w:r>
          </w:p>
        </w:tc>
        <w:tc>
          <w:tcPr/>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category</w:t>
            </w:r>
            <w:r w:rsidDel="00000000" w:rsidR="00000000" w:rsidRPr="00000000">
              <w:rPr>
                <w:rtl w:val="0"/>
              </w:rPr>
            </w:r>
          </w:p>
        </w:tc>
        <w:tc>
          <w:tcPr/>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w:t>
            </w:r>
            <w:r w:rsidDel="00000000" w:rsidR="00000000" w:rsidRPr="00000000">
              <w:rPr>
                <w:rFonts w:ascii="Times New Roman" w:cs="Times New Roman" w:eastAsia="Times New Roman" w:hAnsi="Times New Roman"/>
                <w:i w:val="0"/>
                <w:iCs w:val="0"/>
                <w:color w:val="222222"/>
                <w:sz w:val="20"/>
                <w:szCs w:val="20"/>
                <w:rtl w:val="0"/>
              </w:rPr>
              <w:t xml:space="preserve">laucoma subtype.</w:t>
            </w:r>
            <w:r w:rsidDel="00000000" w:rsidR="00000000" w:rsidRPr="00000000">
              <w:rPr>
                <w:rtl w:val="0"/>
              </w:rPr>
            </w:r>
          </w:p>
        </w:tc>
      </w:tr>
    </w:tbl>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A">
      <w:pPr>
        <w:spacing w:after="12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f3a5f"/>
          <w:sz w:val="24"/>
          <w:szCs w:val="24"/>
          <w:rtl w:val="0"/>
        </w:rPr>
        <w:t xml:space="preserve">3.2  Data Quality Notes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Mixed numeric and categorical clinical fields — encode and impute inside the saved pipeline</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Not every patient will have every test result; handle missing values without dropping rows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Diagnosis is the binary prediction target (Glaucoma vs No Glaucoma)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 may be used for feature engineering during training only</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Do not use Diagnosis as inference inputs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All preprocessing (imputation, encoding, scaling, thresholds) must be embedded in model.pkl</w:t>
      </w:r>
    </w:p>
    <w:p w:rsidR="00000000" w:rsidDel="00000000" w:rsidP="00000000" w:rsidRDefault="00000000" w:rsidRPr="00000000" w14:paraId="00000050">
      <w:pPr>
        <w:pBdr>
          <w:bottom w:color="0e7c7b" w:space="4" w:sz="12" w:val="single"/>
        </w:pBdr>
        <w:spacing w:after="16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e7c7b"/>
          <w:sz w:val="28"/>
          <w:szCs w:val="28"/>
          <w:rtl w:val="0"/>
        </w:rPr>
        <w:t xml:space="preserve">4.  </w:t>
      </w:r>
      <w:r w:rsidDel="00000000" w:rsidR="00000000" w:rsidRPr="00000000">
        <w:rPr>
          <w:rFonts w:ascii="Times New Roman" w:cs="Times New Roman" w:eastAsia="Times New Roman" w:hAnsi="Times New Roman"/>
          <w:b w:val="1"/>
          <w:bCs w:val="1"/>
          <w:i w:val="0"/>
          <w:iCs w:val="0"/>
          <w:color w:val="1f3a5f"/>
          <w:sz w:val="28"/>
          <w:szCs w:val="28"/>
          <w:rtl w:val="0"/>
        </w:rPr>
        <w:t xml:space="preserve">Expected Input &amp; Output</w:t>
      </w:r>
      <w:r w:rsidDel="00000000" w:rsidR="00000000" w:rsidRPr="00000000">
        <w:rPr>
          <w:rtl w:val="0"/>
        </w:rPr>
      </w:r>
    </w:p>
    <w:p w:rsidR="00000000" w:rsidDel="00000000" w:rsidP="00000000" w:rsidRDefault="00000000" w:rsidRPr="00000000" w14:paraId="00000051">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2"/>
          <w:szCs w:val="22"/>
          <w:rtl w:val="0"/>
        </w:rPr>
        <w:t xml:space="preserve">This section describes, at a conceptual level, what your solution receives and what it must return. The exact technical contract is defined later in Section 7 (API Specification).</w:t>
      </w:r>
      <w:r w:rsidDel="00000000" w:rsidR="00000000" w:rsidRPr="00000000">
        <w:rPr>
          <w:rtl w:val="0"/>
        </w:rPr>
      </w:r>
    </w:p>
    <w:p w:rsidR="00000000" w:rsidDel="00000000" w:rsidP="00000000" w:rsidRDefault="00000000" w:rsidRPr="00000000" w14:paraId="00000052">
      <w:pPr>
        <w:spacing w:after="12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f3a5f"/>
          <w:sz w:val="24"/>
          <w:szCs w:val="24"/>
          <w:rtl w:val="0"/>
        </w:rPr>
        <w:t xml:space="preserve">4.1  Input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A CSV file containing one row per patient and the clinical feature columns listed in Section 3.1</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Diagnosis </w:t>
      </w:r>
      <w:r w:rsidDel="00000000" w:rsidR="00000000" w:rsidRPr="00000000">
        <w:rPr>
          <w:rFonts w:ascii="Times New Roman" w:cs="Times New Roman" w:eastAsia="Times New Roman" w:hAnsi="Times New Roman"/>
          <w:rtl w:val="0"/>
        </w:rPr>
        <w:t xml:space="preserve">is</w:t>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 never included in inference input</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Patient ID may be present but must not be required as a model feature</w:t>
      </w:r>
    </w:p>
    <w:p w:rsidR="00000000" w:rsidDel="00000000" w:rsidP="00000000" w:rsidRDefault="00000000" w:rsidRPr="00000000" w14:paraId="00000056">
      <w:pPr>
        <w:spacing w:after="12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f3a5f"/>
          <w:sz w:val="24"/>
          <w:szCs w:val="24"/>
          <w:rtl w:val="0"/>
        </w:rPr>
        <w:t xml:space="preserve">4.2  Output</w:t>
      </w:r>
      <w:r w:rsidDel="00000000" w:rsidR="00000000" w:rsidRPr="00000000">
        <w:rPr>
          <w:rtl w:val="0"/>
        </w:rPr>
      </w:r>
    </w:p>
    <w:p w:rsidR="00000000" w:rsidDel="00000000" w:rsidP="00000000" w:rsidRDefault="00000000" w:rsidRPr="00000000" w14:paraId="00000057">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2"/>
          <w:szCs w:val="22"/>
          <w:rtl w:val="0"/>
        </w:rPr>
        <w:t xml:space="preserve">For every input row, </w:t>
      </w:r>
      <w:r w:rsidDel="00000000" w:rsidR="00000000" w:rsidRPr="00000000">
        <w:rPr>
          <w:rFonts w:ascii="Times New Roman" w:cs="Times New Roman" w:eastAsia="Times New Roman" w:hAnsi="Times New Roman"/>
          <w:rtl w:val="0"/>
        </w:rPr>
        <w:t xml:space="preserve">your solution must return all the inputFile column values along with</w:t>
      </w:r>
      <w:r w:rsidDel="00000000" w:rsidR="00000000" w:rsidRPr="00000000">
        <w:rPr>
          <w:rFonts w:ascii="Times New Roman" w:cs="Times New Roman" w:eastAsia="Times New Roman" w:hAnsi="Times New Roman"/>
          <w:i w:val="0"/>
          <w:iCs w:val="0"/>
          <w:color w:val="222222"/>
          <w:sz w:val="22"/>
          <w:szCs w:val="22"/>
          <w:rtl w:val="0"/>
        </w:rPr>
        <w:t xml:space="preserve">:</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Diagnosis</w:t>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 — boolean decision </w:t>
      </w:r>
      <w:r w:rsidDel="00000000" w:rsidR="00000000" w:rsidRPr="00000000">
        <w:rPr>
          <w:rFonts w:ascii="Times New Roman" w:cs="Times New Roman" w:eastAsia="Times New Roman" w:hAnsi="Times New Roman"/>
          <w:rtl w:val="0"/>
        </w:rPr>
        <w:t xml:space="preserve">in text format</w:t>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 (true = Glaucoma, false = No Glaucoma)</w:t>
      </w:r>
    </w:p>
    <w:p w:rsidR="00000000" w:rsidDel="00000000" w:rsidP="00000000" w:rsidRDefault="00000000" w:rsidRPr="00000000" w14:paraId="00000059">
      <w:pPr>
        <w:spacing w:after="1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e7c7b"/>
          <w:sz w:val="20"/>
          <w:szCs w:val="20"/>
          <w:rtl w:val="0"/>
        </w:rPr>
        <w:t xml:space="preserve">TARGET BENCHMARK:  </w:t>
      </w:r>
      <w:r w:rsidDel="00000000" w:rsidR="00000000" w:rsidRPr="00000000">
        <w:rPr>
          <w:rFonts w:ascii="Times New Roman" w:cs="Times New Roman" w:eastAsia="Times New Roman" w:hAnsi="Times New Roman"/>
          <w:i w:val="0"/>
          <w:iCs w:val="0"/>
          <w:color w:val="222222"/>
          <w:sz w:val="21"/>
          <w:szCs w:val="21"/>
          <w:rtl w:val="0"/>
        </w:rPr>
        <w:t xml:space="preserve">Expected accuracy band for a solid classical-ML solution: approximately 85–95%. Focus on F1 and ROC-AUC for the Glaucoma (positive) class, not accuracy alone.</w:t>
      </w:r>
      <w:r w:rsidDel="00000000" w:rsidR="00000000" w:rsidRPr="00000000">
        <w:rPr>
          <w:rtl w:val="0"/>
        </w:rPr>
      </w:r>
    </w:p>
    <w:p w:rsidR="00000000" w:rsidDel="00000000" w:rsidP="00000000" w:rsidRDefault="00000000" w:rsidRPr="00000000" w14:paraId="0000005A">
      <w:pPr>
        <w:pBdr>
          <w:bottom w:color="0e7c7b" w:space="4" w:sz="12" w:val="single"/>
        </w:pBdr>
        <w:spacing w:after="16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e7c7b"/>
          <w:sz w:val="28"/>
          <w:szCs w:val="28"/>
          <w:rtl w:val="0"/>
        </w:rPr>
        <w:t xml:space="preserve">5.  </w:t>
      </w:r>
      <w:r w:rsidDel="00000000" w:rsidR="00000000" w:rsidRPr="00000000">
        <w:rPr>
          <w:rFonts w:ascii="Times New Roman" w:cs="Times New Roman" w:eastAsia="Times New Roman" w:hAnsi="Times New Roman"/>
          <w:b w:val="1"/>
          <w:bCs w:val="1"/>
          <w:i w:val="0"/>
          <w:iCs w:val="0"/>
          <w:color w:val="1f3a5f"/>
          <w:sz w:val="28"/>
          <w:szCs w:val="28"/>
          <w:rtl w:val="0"/>
        </w:rPr>
        <w:t xml:space="preserve">Solution Approach — Suggested Workflow</w:t>
      </w:r>
      <w:r w:rsidDel="00000000" w:rsidR="00000000" w:rsidRPr="00000000">
        <w:rPr>
          <w:rtl w:val="0"/>
        </w:rPr>
      </w:r>
    </w:p>
    <w:p w:rsidR="00000000" w:rsidDel="00000000" w:rsidP="00000000" w:rsidRDefault="00000000" w:rsidRPr="00000000" w14:paraId="0000005B">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2"/>
          <w:szCs w:val="22"/>
          <w:rtl w:val="0"/>
        </w:rPr>
        <w:t xml:space="preserve">The steps below outline a practical path from raw data to a compliant, deployed solution. Teams are free to adapt this workflow, provided the final submission still satisfies Sections 7–9.</w:t>
      </w:r>
      <w:r w:rsidDel="00000000" w:rsidR="00000000" w:rsidRPr="00000000">
        <w:rPr>
          <w:rtl w:val="0"/>
        </w:rPr>
      </w:r>
    </w:p>
    <w:p w:rsidR="00000000" w:rsidDel="00000000" w:rsidP="00000000" w:rsidRDefault="00000000" w:rsidRPr="00000000" w14:paraId="0000005C">
      <w:pPr>
        <w:spacing w:after="12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f3a5f"/>
          <w:sz w:val="24"/>
          <w:szCs w:val="24"/>
          <w:rtl w:val="0"/>
        </w:rPr>
        <w:t xml:space="preserve">Step 1 — Explore &amp; Understand the Data</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Profile train.csv: inspect Diagnosis class balance, missing test results, and distributions of IOP, CDR, and Age.</w:t>
      </w:r>
    </w:p>
    <w:p w:rsidR="00000000" w:rsidDel="00000000" w:rsidP="00000000" w:rsidRDefault="00000000" w:rsidRPr="00000000" w14:paraId="0000005E">
      <w:pPr>
        <w:spacing w:after="12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f3a5f"/>
          <w:sz w:val="24"/>
          <w:szCs w:val="24"/>
          <w:rtl w:val="0"/>
        </w:rPr>
        <w:t xml:space="preserve">Step 2 — Build a Preprocessing Pipeline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Drop or ignore Patient ID</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Diagnosis from the feature matrix.</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Impute missing clinical values; encode categorical fields; scale numeric measurements as needed.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Wrap all transforms and thresholds inside a single object that ships as part of model.pkl.</w:t>
      </w:r>
    </w:p>
    <w:p w:rsidR="00000000" w:rsidDel="00000000" w:rsidP="00000000" w:rsidRDefault="00000000" w:rsidRPr="00000000" w14:paraId="00000062">
      <w:pPr>
        <w:spacing w:after="12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f3a5f"/>
          <w:sz w:val="24"/>
          <w:szCs w:val="24"/>
          <w:rtl w:val="0"/>
        </w:rPr>
        <w:t xml:space="preserve">Step 3 — Train &amp; Validate the Model</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Start with a classical baseline (logistic regression) and iterate toward stronger ensembles (random forest, gradient boosting).</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Address class imbalance if present (class weights, SMOTE, or threshold tuning) and validate with stratified splits.</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Track accuracy, precision, recall, F1, and ROC-AUC — the same metrics used for official scoring.</w:t>
      </w:r>
    </w:p>
    <w:p w:rsidR="00000000" w:rsidDel="00000000" w:rsidP="00000000" w:rsidRDefault="00000000" w:rsidRPr="00000000" w14:paraId="00000066">
      <w:pPr>
        <w:spacing w:after="12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f3a5f"/>
          <w:sz w:val="24"/>
          <w:szCs w:val="24"/>
          <w:rtl w:val="0"/>
        </w:rPr>
        <w:t xml:space="preserve">Step 4 — Package the Model Artifact</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Serialize the complete pipeline as model.pkl using joblib or pickle.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Confirm the file loads cleanly in a fresh environment before deployment.</w:t>
      </w:r>
    </w:p>
    <w:p w:rsidR="00000000" w:rsidDel="00000000" w:rsidP="00000000" w:rsidRDefault="00000000" w:rsidRPr="00000000" w14:paraId="00000069">
      <w:pPr>
        <w:spacing w:after="12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f3a5f"/>
          <w:sz w:val="24"/>
          <w:szCs w:val="24"/>
          <w:rtl w:val="0"/>
        </w:rPr>
        <w:t xml:space="preserve">Step 5 — Build &amp; Deploy the Inference API</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Implement the contract in Section 7 (FastAPI, Flask, or any standard serving framework).</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Ensure the API downloads the CSV from </w:t>
      </w:r>
      <w:r w:rsidDel="00000000" w:rsidR="00000000" w:rsidRPr="00000000">
        <w:rPr>
          <w:rFonts w:ascii="Times New Roman" w:cs="Times New Roman" w:eastAsia="Times New Roman" w:hAnsi="Times New Roman"/>
          <w:rtl w:val="0"/>
        </w:rPr>
        <w:t xml:space="preserve">inputFile</w:t>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 scores every row in order, and returns the exact response schema.</w:t>
      </w:r>
    </w:p>
    <w:p w:rsidR="00000000" w:rsidDel="00000000" w:rsidP="00000000" w:rsidRDefault="00000000" w:rsidRPr="00000000" w14:paraId="0000006C">
      <w:pPr>
        <w:spacing w:after="12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f3a5f"/>
          <w:sz w:val="24"/>
          <w:szCs w:val="24"/>
          <w:rtl w:val="0"/>
        </w:rPr>
        <w:t xml:space="preserve">Step 6 — Test for Robustness</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Validate against edge cases: missing test fields, single-row files, and unusual IOP/CDR values.</w:t>
      </w:r>
    </w:p>
    <w:p w:rsidR="00000000" w:rsidDel="00000000" w:rsidP="00000000" w:rsidRDefault="00000000" w:rsidRPr="00000000" w14:paraId="0000006E">
      <w:pPr>
        <w:spacing w:after="12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f3a5f"/>
          <w:sz w:val="24"/>
          <w:szCs w:val="24"/>
          <w:rtl w:val="0"/>
        </w:rPr>
        <w:t xml:space="preserve">Step 7 — Submit</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Finalize model.pkl, the wrapper source (if needed), the public API endpoint URL, and submission notes as specified in Section 8.</w:t>
      </w:r>
    </w:p>
    <w:p w:rsidR="00000000" w:rsidDel="00000000" w:rsidP="00000000" w:rsidRDefault="00000000" w:rsidRPr="00000000" w14:paraId="00000070">
      <w:pPr>
        <w:spacing w:after="12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f3a5f"/>
          <w:sz w:val="24"/>
          <w:szCs w:val="24"/>
          <w:rtl w:val="0"/>
        </w:rPr>
        <w:t xml:space="preserve">Suggested Models &amp; Tools</w:t>
      </w:r>
      <w:r w:rsidDel="00000000" w:rsidR="00000000" w:rsidRPr="00000000">
        <w:rPr>
          <w:rtl w:val="0"/>
        </w:rPr>
      </w:r>
    </w:p>
    <w:tbl>
      <w:tblPr>
        <w:tblStyle w:val="Table2"/>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86"/>
        <w:gridCol w:w="4986"/>
        <w:tblGridChange w:id="0">
          <w:tblGrid>
            <w:gridCol w:w="4986"/>
            <w:gridCol w:w="4986"/>
          </w:tblGrid>
        </w:tblGridChange>
      </w:tblGrid>
      <w:tr>
        <w:trPr>
          <w:cantSplit w:val="0"/>
          <w:tblHeader w:val="0"/>
        </w:trPr>
        <w:tc>
          <w:tcPr>
            <w:shd w:fill="1f3a5f" w:val="clear"/>
          </w:tcPr>
          <w:p w:rsidR="00000000" w:rsidDel="00000000" w:rsidP="00000000" w:rsidRDefault="00000000" w:rsidRPr="00000000" w14:paraId="0000007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Model</w:t>
            </w:r>
            <w:r w:rsidDel="00000000" w:rsidR="00000000" w:rsidRPr="00000000">
              <w:rPr>
                <w:rtl w:val="0"/>
              </w:rPr>
            </w:r>
          </w:p>
        </w:tc>
        <w:tc>
          <w:tcPr>
            <w:shd w:fill="1f3a5f" w:val="clear"/>
          </w:tcPr>
          <w:p w:rsidR="00000000" w:rsidDel="00000000" w:rsidP="00000000" w:rsidRDefault="00000000" w:rsidRPr="00000000" w14:paraId="0000007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When to use it</w:t>
            </w:r>
            <w:r w:rsidDel="00000000" w:rsidR="00000000" w:rsidRPr="00000000">
              <w:rPr>
                <w:rtl w:val="0"/>
              </w:rPr>
            </w:r>
          </w:p>
        </w:tc>
      </w:tr>
      <w:tr>
        <w:trPr>
          <w:cantSplit w:val="0"/>
          <w:tblHeader w:val="0"/>
        </w:trPr>
        <w:tc>
          <w:tcPr/>
          <w:p w:rsidR="00000000" w:rsidDel="00000000" w:rsidP="00000000" w:rsidRDefault="00000000" w:rsidRPr="00000000" w14:paraId="00000073">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Logistic Regression</w:t>
            </w:r>
            <w:r w:rsidDel="00000000" w:rsidR="00000000" w:rsidRPr="00000000">
              <w:rPr>
                <w:rtl w:val="0"/>
              </w:rPr>
            </w:r>
          </w:p>
        </w:tc>
        <w:tc>
          <w:tcPr/>
          <w:p w:rsidR="00000000" w:rsidDel="00000000" w:rsidP="00000000" w:rsidRDefault="00000000" w:rsidRPr="00000000" w14:paraId="00000074">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Fast, interpretable baseline for clinical tabular data.</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75">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Random Forest</w:t>
            </w:r>
            <w:r w:rsidDel="00000000" w:rsidR="00000000" w:rsidRPr="00000000">
              <w:rPr>
                <w:rtl w:val="0"/>
              </w:rPr>
            </w:r>
          </w:p>
        </w:tc>
        <w:tc>
          <w:tcPr>
            <w:shd w:fill="f3f6f9" w:val="clear"/>
          </w:tcPr>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Strong general-purpose choice; handles mixed numeric/categorical features well.</w:t>
            </w:r>
            <w:r w:rsidDel="00000000" w:rsidR="00000000" w:rsidRPr="00000000">
              <w:rPr>
                <w:rtl w:val="0"/>
              </w:rPr>
            </w:r>
          </w:p>
        </w:tc>
      </w:tr>
      <w:tr>
        <w:trPr>
          <w:cantSplit w:val="0"/>
          <w:tblHeader w:val="0"/>
        </w:trPr>
        <w:tc>
          <w:tcPr/>
          <w:p w:rsidR="00000000" w:rsidDel="00000000" w:rsidP="00000000" w:rsidRDefault="00000000" w:rsidRPr="00000000" w14:paraId="00000077">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Gradient Boosting (XGBoost / LightGBM / CatBoost)</w:t>
            </w:r>
            <w:r w:rsidDel="00000000" w:rsidR="00000000" w:rsidRPr="00000000">
              <w:rPr>
                <w:rtl w:val="0"/>
              </w:rPr>
            </w:r>
          </w:p>
        </w:tc>
        <w:tc>
          <w:tcPr/>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Often best accuracy after tuning on structured clinical data.</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SMOTE / class weights</w:t>
            </w:r>
            <w:r w:rsidDel="00000000" w:rsidR="00000000" w:rsidRPr="00000000">
              <w:rPr>
                <w:rtl w:val="0"/>
              </w:rPr>
            </w:r>
          </w:p>
        </w:tc>
        <w:tc>
          <w:tcPr>
            <w:shd w:fill="f3f6f9" w:val="clear"/>
          </w:tcPr>
          <w:p w:rsidR="00000000" w:rsidDel="00000000" w:rsidP="00000000" w:rsidRDefault="00000000" w:rsidRPr="00000000" w14:paraId="0000007A">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Useful if the Glaucoma class is underrepresented.</w:t>
            </w:r>
            <w:r w:rsidDel="00000000" w:rsidR="00000000" w:rsidRPr="00000000">
              <w:rPr>
                <w:rtl w:val="0"/>
              </w:rPr>
            </w:r>
          </w:p>
        </w:tc>
      </w:tr>
    </w:tbl>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2"/>
          <w:szCs w:val="22"/>
          <w:rtl w:val="0"/>
        </w:rPr>
        <w:t xml:space="preserve">Recommended libraries: pandas and numpy for data handling; scikit-learn and imbalanced-learn for pipelines; joblib for saving model.pkl; FastAPI or Flask for the inference API.</w:t>
      </w:r>
      <w:r w:rsidDel="00000000" w:rsidR="00000000" w:rsidRPr="00000000">
        <w:rPr>
          <w:rtl w:val="0"/>
        </w:rPr>
      </w:r>
    </w:p>
    <w:p w:rsidR="00000000" w:rsidDel="00000000" w:rsidP="00000000" w:rsidRDefault="00000000" w:rsidRPr="00000000" w14:paraId="0000007D">
      <w:pPr>
        <w:pBdr>
          <w:bottom w:color="0e7c7b" w:space="4" w:sz="12" w:val="single"/>
        </w:pBdr>
        <w:spacing w:after="16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e7c7b"/>
          <w:sz w:val="28"/>
          <w:szCs w:val="28"/>
          <w:rtl w:val="0"/>
        </w:rPr>
        <w:t xml:space="preserve">6.  </w:t>
      </w:r>
      <w:r w:rsidDel="00000000" w:rsidR="00000000" w:rsidRPr="00000000">
        <w:rPr>
          <w:rFonts w:ascii="Times New Roman" w:cs="Times New Roman" w:eastAsia="Times New Roman" w:hAnsi="Times New Roman"/>
          <w:b w:val="1"/>
          <w:bCs w:val="1"/>
          <w:i w:val="0"/>
          <w:iCs w:val="0"/>
          <w:color w:val="1f3a5f"/>
          <w:sz w:val="28"/>
          <w:szCs w:val="28"/>
          <w:rtl w:val="0"/>
        </w:rPr>
        <w:t xml:space="preserve">Model Artifact Requirements</w:t>
      </w:r>
      <w:r w:rsidDel="00000000" w:rsidR="00000000" w:rsidRPr="00000000">
        <w:rPr>
          <w:rtl w:val="0"/>
        </w:rPr>
      </w:r>
    </w:p>
    <w:p w:rsidR="00000000" w:rsidDel="00000000" w:rsidP="00000000" w:rsidRDefault="00000000" w:rsidRPr="00000000" w14:paraId="0000007E">
      <w:pPr>
        <w:spacing w:after="1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b23b3b"/>
          <w:sz w:val="20"/>
          <w:szCs w:val="20"/>
          <w:rtl w:val="0"/>
        </w:rPr>
        <w:t xml:space="preserve">REQUIRED FILE:  </w:t>
      </w:r>
      <w:r w:rsidDel="00000000" w:rsidR="00000000" w:rsidRPr="00000000">
        <w:rPr>
          <w:rFonts w:ascii="Times New Roman" w:cs="Times New Roman" w:eastAsia="Times New Roman" w:hAnsi="Times New Roman"/>
          <w:i w:val="0"/>
          <w:iCs w:val="0"/>
          <w:color w:val="222222"/>
          <w:sz w:val="21"/>
          <w:szCs w:val="21"/>
          <w:rtl w:val="0"/>
        </w:rPr>
        <w:t xml:space="preserve">Submit a single model.pkl file containing the complete trained model and preprocessing pipeline. Organizers will load this file for basic smoke-testing. No participant evaluation script is required.</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Inference must accept Section 3.1 clinical features (without Diagnosis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 and produce </w:t>
      </w:r>
      <w:r w:rsidDel="00000000" w:rsidR="00000000" w:rsidRPr="00000000">
        <w:rPr>
          <w:rFonts w:ascii="Times New Roman" w:cs="Times New Roman" w:eastAsia="Times New Roman" w:hAnsi="Times New Roman"/>
          <w:rtl w:val="0"/>
        </w:rPr>
        <w:t xml:space="preserve">Diagnosis</w:t>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 via the API</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If a custom class is required to unpickle, include the corresponding .py source</w:t>
      </w:r>
    </w:p>
    <w:p w:rsidR="00000000" w:rsidDel="00000000" w:rsidP="00000000" w:rsidRDefault="00000000" w:rsidRPr="00000000" w14:paraId="00000081">
      <w:pPr>
        <w:pBdr>
          <w:bottom w:color="0e7c7b" w:space="4" w:sz="12" w:val="single"/>
        </w:pBdr>
        <w:spacing w:after="16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e7c7b"/>
          <w:sz w:val="28"/>
          <w:szCs w:val="28"/>
          <w:rtl w:val="0"/>
        </w:rPr>
        <w:t xml:space="preserve">7.  </w:t>
      </w:r>
      <w:r w:rsidDel="00000000" w:rsidR="00000000" w:rsidRPr="00000000">
        <w:rPr>
          <w:rFonts w:ascii="Times New Roman" w:cs="Times New Roman" w:eastAsia="Times New Roman" w:hAnsi="Times New Roman"/>
          <w:b w:val="1"/>
          <w:bCs w:val="1"/>
          <w:i w:val="0"/>
          <w:iCs w:val="0"/>
          <w:color w:val="1f3a5f"/>
          <w:sz w:val="28"/>
          <w:szCs w:val="28"/>
          <w:rtl w:val="0"/>
        </w:rPr>
        <w:t xml:space="preserve">API Specification</w:t>
      </w:r>
      <w:r w:rsidDel="00000000" w:rsidR="00000000" w:rsidRPr="00000000">
        <w:rPr>
          <w:rtl w:val="0"/>
        </w:rPr>
      </w:r>
    </w:p>
    <w:p w:rsidR="00000000" w:rsidDel="00000000" w:rsidP="00000000" w:rsidRDefault="00000000" w:rsidRPr="00000000" w14:paraId="00000082">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2"/>
          <w:szCs w:val="22"/>
          <w:rtl w:val="0"/>
        </w:rPr>
        <w:t xml:space="preserve">Your API will receive POST requests with </w:t>
      </w:r>
      <w:r w:rsidDel="00000000" w:rsidR="00000000" w:rsidRPr="00000000">
        <w:rPr>
          <w:rFonts w:ascii="Times New Roman" w:cs="Times New Roman" w:eastAsia="Times New Roman" w:hAnsi="Times New Roman"/>
          <w:rtl w:val="0"/>
        </w:rPr>
        <w:t xml:space="preserve">inputFile</w:t>
      </w:r>
      <w:r w:rsidDel="00000000" w:rsidR="00000000" w:rsidRPr="00000000">
        <w:rPr>
          <w:rFonts w:ascii="Times New Roman" w:cs="Times New Roman" w:eastAsia="Times New Roman" w:hAnsi="Times New Roman"/>
          <w:i w:val="0"/>
          <w:iCs w:val="0"/>
          <w:color w:val="222222"/>
          <w:sz w:val="22"/>
          <w:szCs w:val="22"/>
          <w:rtl w:val="0"/>
        </w:rPr>
        <w:t xml:space="preserve">. The service must download the CSV from that URL over HTTP(S), process every row in order, and return predictions.</w:t>
      </w:r>
      <w:r w:rsidDel="00000000" w:rsidR="00000000" w:rsidRPr="00000000">
        <w:rPr>
          <w:rtl w:val="0"/>
        </w:rPr>
      </w:r>
    </w:p>
    <w:p w:rsidR="00000000" w:rsidDel="00000000" w:rsidP="00000000" w:rsidRDefault="00000000" w:rsidRPr="00000000" w14:paraId="00000083">
      <w:pPr>
        <w:spacing w:after="12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f3a5f"/>
          <w:sz w:val="24"/>
          <w:szCs w:val="24"/>
          <w:rtl w:val="0"/>
        </w:rPr>
        <w:t xml:space="preserve">7.1  Request</w:t>
      </w:r>
      <w:r w:rsidDel="00000000" w:rsidR="00000000" w:rsidRPr="00000000">
        <w:rPr>
          <w:rtl w:val="0"/>
        </w:rPr>
      </w:r>
    </w:p>
    <w:p w:rsidR="00000000" w:rsidDel="00000000" w:rsidP="00000000" w:rsidRDefault="00000000" w:rsidRPr="00000000" w14:paraId="00000084">
      <w:pPr>
        <w:spacing w:after="150" w:line="27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1f3a5f"/>
          <w:rtl w:val="0"/>
        </w:rPr>
        <w:t xml:space="preserve">Headers:</w:t>
      </w:r>
      <w:r w:rsidDel="00000000" w:rsidR="00000000" w:rsidRPr="00000000">
        <w:rPr>
          <w:rtl w:val="0"/>
        </w:rPr>
      </w:r>
    </w:p>
    <w:p w:rsidR="00000000" w:rsidDel="00000000" w:rsidP="00000000" w:rsidRDefault="00000000" w:rsidRPr="00000000" w14:paraId="00000085">
      <w:pPr>
        <w:pBdr>
          <w:top w:color="c9d2da" w:space="0" w:sz="4" w:val="single"/>
          <w:left w:color="c9d2da" w:space="0" w:sz="4" w:val="single"/>
          <w:bottom w:color="c9d2da" w:space="0" w:sz="4" w:val="single"/>
          <w:right w:color="c9d2da" w:space="0" w:sz="4" w:val="single"/>
        </w:pBdr>
        <w:shd w:fill="f4f6f8" w:val="clear"/>
        <w:spacing w:after="150" w:before="90" w:line="240" w:lineRule="auto"/>
        <w:rPr>
          <w:rFonts w:ascii="Times New Roman" w:cs="Times New Roman" w:eastAsia="Times New Roman" w:hAnsi="Times New Roman"/>
          <w:color w:val="000000"/>
          <w:sz w:val="20"/>
          <w:szCs w:val="20"/>
        </w:rPr>
      </w:pPr>
      <w:r w:rsidDel="00000000" w:rsidR="00000000" w:rsidRPr="00000000">
        <w:rPr>
          <w:rFonts w:ascii="Consolas" w:cs="Consolas" w:eastAsia="Consolas" w:hAnsi="Consolas"/>
          <w:color w:val="1b1b1b"/>
          <w:sz w:val="19"/>
          <w:szCs w:val="19"/>
          <w:rtl w:val="0"/>
        </w:rPr>
        <w:t xml:space="preserve">{  "Content-Type": "application/json"}</w:t>
      </w:r>
      <w:r w:rsidDel="00000000" w:rsidR="00000000" w:rsidRPr="00000000">
        <w:rPr>
          <w:rtl w:val="0"/>
        </w:rPr>
      </w:r>
    </w:p>
    <w:p w:rsidR="00000000" w:rsidDel="00000000" w:rsidP="00000000" w:rsidRDefault="00000000" w:rsidRPr="00000000" w14:paraId="00000086">
      <w:pPr>
        <w:spacing w:after="150" w:line="27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1f3a5f"/>
          <w:rtl w:val="0"/>
        </w:rPr>
        <w:t xml:space="preserve">Request Body:</w:t>
      </w:r>
      <w:r w:rsidDel="00000000" w:rsidR="00000000" w:rsidRPr="00000000">
        <w:rPr>
          <w:rtl w:val="0"/>
        </w:rPr>
      </w:r>
    </w:p>
    <w:p w:rsidR="00000000" w:rsidDel="00000000" w:rsidP="00000000" w:rsidRDefault="00000000" w:rsidRPr="00000000" w14:paraId="00000087">
      <w:pPr>
        <w:pBdr>
          <w:top w:color="c9d2da" w:space="0" w:sz="4" w:val="single"/>
          <w:left w:color="c9d2da" w:space="0" w:sz="4" w:val="single"/>
          <w:bottom w:color="c9d2da" w:space="0" w:sz="4" w:val="single"/>
          <w:right w:color="c9d2da" w:space="0" w:sz="4" w:val="single"/>
        </w:pBdr>
        <w:shd w:fill="f4f6f8" w:val="clear"/>
        <w:spacing w:after="150" w:before="90" w:line="240" w:lineRule="auto"/>
        <w:rPr>
          <w:rFonts w:ascii="Consolas" w:cs="Consolas" w:eastAsia="Consolas" w:hAnsi="Consolas"/>
          <w:color w:val="1b1b1b"/>
          <w:sz w:val="19"/>
          <w:szCs w:val="19"/>
        </w:rPr>
      </w:pPr>
      <w:r w:rsidDel="00000000" w:rsidR="00000000" w:rsidRPr="00000000">
        <w:rPr>
          <w:rFonts w:ascii="Consolas" w:cs="Consolas" w:eastAsia="Consolas" w:hAnsi="Consolas"/>
          <w:color w:val="1b1b1b"/>
          <w:sz w:val="19"/>
          <w:szCs w:val="19"/>
          <w:rtl w:val="0"/>
        </w:rPr>
        <w:t xml:space="preserve">{</w:t>
      </w:r>
    </w:p>
    <w:p w:rsidR="00000000" w:rsidDel="00000000" w:rsidP="00000000" w:rsidRDefault="00000000" w:rsidRPr="00000000" w14:paraId="00000088">
      <w:pPr>
        <w:pBdr>
          <w:top w:color="c9d2da" w:space="0" w:sz="4" w:val="single"/>
          <w:left w:color="c9d2da" w:space="0" w:sz="4" w:val="single"/>
          <w:bottom w:color="c9d2da" w:space="0" w:sz="4" w:val="single"/>
          <w:right w:color="c9d2da" w:space="0" w:sz="4" w:val="single"/>
        </w:pBdr>
        <w:shd w:fill="f4f6f8" w:val="clear"/>
        <w:spacing w:after="150" w:before="90" w:line="240" w:lineRule="auto"/>
        <w:rPr>
          <w:rFonts w:ascii="Consolas" w:cs="Consolas" w:eastAsia="Consolas" w:hAnsi="Consolas"/>
          <w:color w:val="1b1b1b"/>
          <w:sz w:val="21"/>
          <w:szCs w:val="21"/>
        </w:rPr>
      </w:pPr>
      <w:r w:rsidDel="00000000" w:rsidR="00000000" w:rsidRPr="00000000">
        <w:rPr>
          <w:rFonts w:ascii="Consolas" w:cs="Consolas" w:eastAsia="Consolas" w:hAnsi="Consolas"/>
          <w:color w:val="1b1b1b"/>
          <w:sz w:val="19"/>
          <w:szCs w:val="19"/>
          <w:rtl w:val="0"/>
        </w:rPr>
        <w:t xml:space="preserve">  "inputFile": </w:t>
      </w:r>
      <w:r w:rsidDel="00000000" w:rsidR="00000000" w:rsidRPr="00000000">
        <w:rPr>
          <w:rFonts w:ascii="Consolas" w:cs="Consolas" w:eastAsia="Consolas" w:hAnsi="Consolas"/>
          <w:color w:val="1b1b1b"/>
          <w:sz w:val="21"/>
          <w:szCs w:val="21"/>
          <w:rtl w:val="0"/>
        </w:rPr>
        <w:t xml:space="preserve">"https://s3.amazonaws.com/bucket/</w:t>
      </w:r>
      <w:r w:rsidDel="00000000" w:rsidR="00000000" w:rsidRPr="00000000">
        <w:rPr>
          <w:rFonts w:ascii="Consolas" w:cs="Consolas" w:eastAsia="Consolas" w:hAnsi="Consolas"/>
          <w:color w:val="1b1b1b"/>
          <w:sz w:val="19"/>
          <w:szCs w:val="19"/>
          <w:rtl w:val="0"/>
        </w:rPr>
        <w:t xml:space="preserve">glaucoma_test</w:t>
      </w:r>
      <w:r w:rsidDel="00000000" w:rsidR="00000000" w:rsidRPr="00000000">
        <w:rPr>
          <w:rFonts w:ascii="Consolas" w:cs="Consolas" w:eastAsia="Consolas" w:hAnsi="Consolas"/>
          <w:color w:val="1b1b1b"/>
          <w:sz w:val="21"/>
          <w:szCs w:val="21"/>
          <w:rtl w:val="0"/>
        </w:rPr>
        <w:t xml:space="preserve">.csv"</w:t>
      </w:r>
    </w:p>
    <w:p w:rsidR="00000000" w:rsidDel="00000000" w:rsidP="00000000" w:rsidRDefault="00000000" w:rsidRPr="00000000" w14:paraId="00000089">
      <w:pPr>
        <w:pBdr>
          <w:top w:color="c9d2da" w:space="0" w:sz="4" w:val="single"/>
          <w:left w:color="c9d2da" w:space="0" w:sz="4" w:val="single"/>
          <w:bottom w:color="c9d2da" w:space="0" w:sz="4" w:val="single"/>
          <w:right w:color="c9d2da" w:space="0" w:sz="4" w:val="single"/>
        </w:pBdr>
        <w:shd w:fill="f4f6f8" w:val="clear"/>
        <w:spacing w:after="150" w:before="90" w:line="240" w:lineRule="auto"/>
        <w:rPr>
          <w:rFonts w:ascii="Consolas" w:cs="Consolas" w:eastAsia="Consolas" w:hAnsi="Consolas"/>
          <w:color w:val="1b1b1b"/>
          <w:sz w:val="19"/>
          <w:szCs w:val="19"/>
        </w:rPr>
      </w:pPr>
      <w:r w:rsidDel="00000000" w:rsidR="00000000" w:rsidRPr="00000000">
        <w:rPr>
          <w:rFonts w:ascii="Consolas" w:cs="Consolas" w:eastAsia="Consolas" w:hAnsi="Consolas"/>
          <w:color w:val="1b1b1b"/>
          <w:sz w:val="19"/>
          <w:szCs w:val="19"/>
          <w:rtl w:val="0"/>
        </w:rPr>
        <w:t xml:space="preserve">}</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1700"/>
        <w:gridCol w:w="1400"/>
        <w:gridCol w:w="4750"/>
        <w:tblGridChange w:id="0">
          <w:tblGrid>
            <w:gridCol w:w="1500"/>
            <w:gridCol w:w="1700"/>
            <w:gridCol w:w="1400"/>
            <w:gridCol w:w="4750"/>
          </w:tblGrid>
        </w:tblGridChange>
      </w:tblGrid>
      <w:tr>
        <w:trPr>
          <w:cantSplit w:val="0"/>
          <w:tblHeader w:val="1"/>
        </w:trPr>
        <w:tc>
          <w:tcPr>
            <w:shd w:fill="1f3a5f" w:val="clear"/>
            <w:tcMar>
              <w:top w:w="90.0" w:type="dxa"/>
              <w:left w:w="110.0" w:type="dxa"/>
              <w:bottom w:w="90.0" w:type="dxa"/>
              <w:right w:w="110.0" w:type="dxa"/>
            </w:tcMar>
            <w:vAlign w:val="center"/>
          </w:tcPr>
          <w:p w:rsidR="00000000" w:rsidDel="00000000" w:rsidP="00000000" w:rsidRDefault="00000000" w:rsidRPr="00000000" w14:paraId="0000008A">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Field</w:t>
            </w:r>
            <w:r w:rsidDel="00000000" w:rsidR="00000000" w:rsidRPr="00000000">
              <w:rPr>
                <w:rtl w:val="0"/>
              </w:rPr>
            </w:r>
          </w:p>
        </w:tc>
        <w:tc>
          <w:tcPr>
            <w:shd w:fill="1f3a5f" w:val="clear"/>
            <w:tcMar>
              <w:top w:w="90.0" w:type="dxa"/>
              <w:left w:w="110.0" w:type="dxa"/>
              <w:bottom w:w="90.0" w:type="dxa"/>
              <w:right w:w="110.0" w:type="dxa"/>
            </w:tcMar>
            <w:vAlign w:val="center"/>
          </w:tcPr>
          <w:p w:rsidR="00000000" w:rsidDel="00000000" w:rsidP="00000000" w:rsidRDefault="00000000" w:rsidRPr="00000000" w14:paraId="0000008B">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Type</w:t>
            </w:r>
            <w:r w:rsidDel="00000000" w:rsidR="00000000" w:rsidRPr="00000000">
              <w:rPr>
                <w:rtl w:val="0"/>
              </w:rPr>
            </w:r>
          </w:p>
        </w:tc>
        <w:tc>
          <w:tcPr>
            <w:shd w:fill="1f3a5f" w:val="clear"/>
            <w:tcMar>
              <w:top w:w="90.0" w:type="dxa"/>
              <w:left w:w="110.0" w:type="dxa"/>
              <w:bottom w:w="90.0" w:type="dxa"/>
              <w:right w:w="110.0" w:type="dxa"/>
            </w:tcMar>
            <w:vAlign w:val="center"/>
          </w:tcPr>
          <w:p w:rsidR="00000000" w:rsidDel="00000000" w:rsidP="00000000" w:rsidRDefault="00000000" w:rsidRPr="00000000" w14:paraId="0000008C">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Required</w:t>
            </w:r>
            <w:r w:rsidDel="00000000" w:rsidR="00000000" w:rsidRPr="00000000">
              <w:rPr>
                <w:rtl w:val="0"/>
              </w:rPr>
            </w:r>
          </w:p>
        </w:tc>
        <w:tc>
          <w:tcPr>
            <w:shd w:fill="1f3a5f" w:val="clear"/>
            <w:tcMar>
              <w:top w:w="90.0" w:type="dxa"/>
              <w:left w:w="110.0" w:type="dxa"/>
              <w:bottom w:w="90.0" w:type="dxa"/>
              <w:right w:w="110.0" w:type="dxa"/>
            </w:tcMar>
            <w:vAlign w:val="center"/>
          </w:tcPr>
          <w:p w:rsidR="00000000" w:rsidDel="00000000" w:rsidP="00000000" w:rsidRDefault="00000000" w:rsidRPr="00000000" w14:paraId="0000008D">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shd w:fill="ffffff" w:val="clear"/>
            <w:tcMar>
              <w:top w:w="80.0" w:type="dxa"/>
              <w:left w:w="110.0" w:type="dxa"/>
              <w:bottom w:w="80.0" w:type="dxa"/>
              <w:right w:w="110.0" w:type="dxa"/>
            </w:tcMar>
            <w:vAlign w:val="center"/>
          </w:tcPr>
          <w:p w:rsidR="00000000" w:rsidDel="00000000" w:rsidP="00000000" w:rsidRDefault="00000000" w:rsidRPr="00000000" w14:paraId="0000008E">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inputFile</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8F">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string (URL)</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90">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Yes</w:t>
            </w:r>
            <w:r w:rsidDel="00000000" w:rsidR="00000000" w:rsidRPr="00000000">
              <w:rPr>
                <w:rtl w:val="0"/>
              </w:rPr>
            </w:r>
          </w:p>
        </w:tc>
        <w:tc>
          <w:tcPr>
            <w:shd w:fill="ffffff" w:val="clear"/>
            <w:tcMar>
              <w:top w:w="80.0" w:type="dxa"/>
              <w:left w:w="110.0" w:type="dxa"/>
              <w:bottom w:w="80.0" w:type="dxa"/>
              <w:right w:w="110.0" w:type="dxa"/>
            </w:tcMar>
            <w:vAlign w:val="center"/>
          </w:tcPr>
          <w:p w:rsidR="00000000" w:rsidDel="00000000" w:rsidP="00000000" w:rsidRDefault="00000000" w:rsidRPr="00000000" w14:paraId="00000091">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Publicly accessible HTTP(S) URL of the input CSV file (e.g., an Amazon S3 object URL). The API downloads the file from the provided URL for inference; the CSV is not uploaded as part of the request.</w:t>
            </w:r>
            <w:r w:rsidDel="00000000" w:rsidR="00000000" w:rsidRPr="00000000">
              <w:rPr>
                <w:rtl w:val="0"/>
              </w:rPr>
            </w:r>
          </w:p>
        </w:tc>
      </w:tr>
    </w:tbl>
    <w:p w:rsidR="00000000" w:rsidDel="00000000" w:rsidP="00000000" w:rsidRDefault="00000000" w:rsidRPr="00000000" w14:paraId="00000092">
      <w:pPr>
        <w:spacing w:after="110" w:before="180" w:line="240" w:lineRule="auto"/>
        <w:rPr>
          <w:rFonts w:ascii="Times New Roman" w:cs="Times New Roman" w:eastAsia="Times New Roman" w:hAnsi="Times New Roman"/>
          <w:b w:val="1"/>
          <w:bCs w:val="1"/>
          <w:color w:val="1f3a5f"/>
        </w:rPr>
      </w:pPr>
      <w:r w:rsidDel="00000000" w:rsidR="00000000" w:rsidRPr="00000000">
        <w:rPr>
          <w:rtl w:val="0"/>
        </w:rPr>
      </w:r>
    </w:p>
    <w:p w:rsidR="00000000" w:rsidDel="00000000" w:rsidP="00000000" w:rsidRDefault="00000000" w:rsidRPr="00000000" w14:paraId="00000093">
      <w:pPr>
        <w:spacing w:after="110" w:before="180" w:line="240" w:lineRule="auto"/>
        <w:rPr>
          <w:rFonts w:ascii="Times New Roman" w:cs="Times New Roman" w:eastAsia="Times New Roman" w:hAnsi="Times New Roman"/>
          <w:b w:val="1"/>
          <w:bCs w:val="1"/>
          <w:color w:val="1f3a5f"/>
        </w:rPr>
      </w:pPr>
      <w:r w:rsidDel="00000000" w:rsidR="00000000" w:rsidRPr="00000000">
        <w:rPr>
          <w:rFonts w:ascii="Times New Roman" w:cs="Times New Roman" w:eastAsia="Times New Roman" w:hAnsi="Times New Roman"/>
          <w:b w:val="1"/>
          <w:bCs w:val="1"/>
          <w:color w:val="1f3a5f"/>
          <w:rtl w:val="0"/>
        </w:rPr>
        <w:t xml:space="preserve">Curl Request:</w:t>
      </w:r>
    </w:p>
    <w:p w:rsidR="00000000" w:rsidDel="00000000" w:rsidP="00000000" w:rsidRDefault="00000000" w:rsidRPr="00000000" w14:paraId="00000094">
      <w:pPr>
        <w:pBdr>
          <w:top w:color="c9d2da" w:space="0" w:sz="4" w:val="single"/>
          <w:left w:color="c9d2da" w:space="0" w:sz="4" w:val="single"/>
          <w:bottom w:color="c9d2da" w:space="0" w:sz="4" w:val="single"/>
          <w:right w:color="c9d2da" w:space="0" w:sz="4" w:val="single"/>
        </w:pBdr>
        <w:shd w:fill="f4f6f8" w:val="clear"/>
        <w:spacing w:after="150" w:before="90" w:line="240" w:lineRule="auto"/>
        <w:rPr>
          <w:rFonts w:ascii="Times New Roman" w:cs="Times New Roman" w:eastAsia="Times New Roman" w:hAnsi="Times New Roman"/>
          <w:color w:val="1b1b1b"/>
          <w:sz w:val="19"/>
          <w:szCs w:val="19"/>
        </w:rPr>
      </w:pPr>
      <w:r w:rsidDel="00000000" w:rsidR="00000000" w:rsidRPr="00000000">
        <w:rPr>
          <w:rFonts w:ascii="Times New Roman" w:cs="Times New Roman" w:eastAsia="Times New Roman" w:hAnsi="Times New Roman"/>
          <w:color w:val="1b1b1b"/>
          <w:sz w:val="19"/>
          <w:szCs w:val="19"/>
          <w:rtl w:val="0"/>
        </w:rPr>
        <w:t xml:space="preserve">curl -X POST \</w:t>
      </w:r>
    </w:p>
    <w:p w:rsidR="00000000" w:rsidDel="00000000" w:rsidP="00000000" w:rsidRDefault="00000000" w:rsidRPr="00000000" w14:paraId="00000095">
      <w:pPr>
        <w:pBdr>
          <w:top w:color="c9d2da" w:space="0" w:sz="4" w:val="single"/>
          <w:left w:color="c9d2da" w:space="0" w:sz="4" w:val="single"/>
          <w:bottom w:color="c9d2da" w:space="0" w:sz="4" w:val="single"/>
          <w:right w:color="c9d2da" w:space="0" w:sz="4" w:val="single"/>
        </w:pBdr>
        <w:shd w:fill="f4f6f8" w:val="clear"/>
        <w:spacing w:after="150" w:before="90" w:line="240" w:lineRule="auto"/>
        <w:rPr>
          <w:rFonts w:ascii="Times New Roman" w:cs="Times New Roman" w:eastAsia="Times New Roman" w:hAnsi="Times New Roman"/>
          <w:color w:val="1b1b1b"/>
          <w:sz w:val="19"/>
          <w:szCs w:val="19"/>
        </w:rPr>
      </w:pPr>
      <w:r w:rsidDel="00000000" w:rsidR="00000000" w:rsidRPr="00000000">
        <w:rPr>
          <w:rFonts w:ascii="Times New Roman" w:cs="Times New Roman" w:eastAsia="Times New Roman" w:hAnsi="Times New Roman"/>
          <w:color w:val="1b1b1b"/>
          <w:sz w:val="19"/>
          <w:szCs w:val="19"/>
          <w:rtl w:val="0"/>
        </w:rPr>
        <w:t xml:space="preserve">  -H "Content-Type: application/json" \</w:t>
      </w:r>
    </w:p>
    <w:p w:rsidR="00000000" w:rsidDel="00000000" w:rsidP="00000000" w:rsidRDefault="00000000" w:rsidRPr="00000000" w14:paraId="00000096">
      <w:pPr>
        <w:pBdr>
          <w:top w:color="c9d2da" w:space="0" w:sz="4" w:val="single"/>
          <w:left w:color="c9d2da" w:space="0" w:sz="4" w:val="single"/>
          <w:bottom w:color="c9d2da" w:space="0" w:sz="4" w:val="single"/>
          <w:right w:color="c9d2da" w:space="0" w:sz="4" w:val="single"/>
        </w:pBdr>
        <w:shd w:fill="f4f6f8" w:val="clear"/>
        <w:spacing w:after="150" w:before="90" w:line="240" w:lineRule="auto"/>
        <w:rPr>
          <w:rFonts w:ascii="Times New Roman" w:cs="Times New Roman" w:eastAsia="Times New Roman" w:hAnsi="Times New Roman"/>
          <w:color w:val="1b1b1b"/>
          <w:sz w:val="19"/>
          <w:szCs w:val="19"/>
        </w:rPr>
      </w:pPr>
      <w:r w:rsidDel="00000000" w:rsidR="00000000" w:rsidRPr="00000000">
        <w:rPr>
          <w:rFonts w:ascii="Times New Roman" w:cs="Times New Roman" w:eastAsia="Times New Roman" w:hAnsi="Times New Roman"/>
          <w:color w:val="1b1b1b"/>
          <w:sz w:val="19"/>
          <w:szCs w:val="19"/>
          <w:rtl w:val="0"/>
        </w:rPr>
        <w:t xml:space="preserve">  -d '{"inputFile": "https://s3.amazonaws.com/bucket/</w:t>
      </w:r>
      <w:r w:rsidDel="00000000" w:rsidR="00000000" w:rsidRPr="00000000">
        <w:rPr>
          <w:rFonts w:ascii="Consolas" w:cs="Consolas" w:eastAsia="Consolas" w:hAnsi="Consolas"/>
          <w:color w:val="1b1b1b"/>
          <w:sz w:val="17"/>
          <w:szCs w:val="17"/>
          <w:rtl w:val="0"/>
        </w:rPr>
        <w:t xml:space="preserve">glaucoma_test</w:t>
      </w:r>
      <w:r w:rsidDel="00000000" w:rsidR="00000000" w:rsidRPr="00000000">
        <w:rPr>
          <w:rFonts w:ascii="Times New Roman" w:cs="Times New Roman" w:eastAsia="Times New Roman" w:hAnsi="Times New Roman"/>
          <w:color w:val="1b1b1b"/>
          <w:sz w:val="19"/>
          <w:szCs w:val="19"/>
          <w:rtl w:val="0"/>
        </w:rPr>
        <w:t xml:space="preserve">.csv"}' \</w:t>
      </w:r>
    </w:p>
    <w:p w:rsidR="00000000" w:rsidDel="00000000" w:rsidP="00000000" w:rsidRDefault="00000000" w:rsidRPr="00000000" w14:paraId="00000097">
      <w:pPr>
        <w:pBdr>
          <w:top w:color="c9d2da" w:space="0" w:sz="4" w:val="single"/>
          <w:left w:color="c9d2da" w:space="0" w:sz="4" w:val="single"/>
          <w:bottom w:color="c9d2da" w:space="0" w:sz="4" w:val="single"/>
          <w:right w:color="c9d2da" w:space="0" w:sz="4" w:val="single"/>
        </w:pBdr>
        <w:shd w:fill="f4f6f8" w:val="clear"/>
        <w:spacing w:after="150" w:before="9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1b1b1b"/>
          <w:sz w:val="19"/>
          <w:szCs w:val="19"/>
          <w:rtl w:val="0"/>
        </w:rPr>
        <w:t xml:space="preserve">  https://localhoat/predict</w:t>
      </w:r>
      <w:r w:rsidDel="00000000" w:rsidR="00000000" w:rsidRPr="00000000">
        <w:rPr>
          <w:rtl w:val="0"/>
        </w:rPr>
      </w:r>
    </w:p>
    <w:p w:rsidR="00000000" w:rsidDel="00000000" w:rsidP="00000000" w:rsidRDefault="00000000" w:rsidRPr="00000000" w14:paraId="00000098">
      <w:pPr>
        <w:spacing w:after="110" w:before="180" w:line="240" w:lineRule="auto"/>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99">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222222"/>
          <w:sz w:val="22"/>
          <w:szCs w:val="22"/>
          <w:rtl w:val="0"/>
        </w:rPr>
        <w:t xml:space="preserve">Input CSV schema (file located at </w:t>
      </w:r>
      <w:r w:rsidDel="00000000" w:rsidR="00000000" w:rsidRPr="00000000">
        <w:rPr>
          <w:rFonts w:ascii="Times New Roman" w:cs="Times New Roman" w:eastAsia="Times New Roman" w:hAnsi="Times New Roman"/>
          <w:b w:val="1"/>
          <w:bCs w:val="1"/>
          <w:rtl w:val="0"/>
        </w:rPr>
        <w:t xml:space="preserve">inputFile</w:t>
      </w:r>
      <w:r w:rsidDel="00000000" w:rsidR="00000000" w:rsidRPr="00000000">
        <w:rPr>
          <w:rFonts w:ascii="Times New Roman" w:cs="Times New Roman" w:eastAsia="Times New Roman" w:hAnsi="Times New Roman"/>
          <w:b w:val="1"/>
          <w:bCs w:val="1"/>
          <w:i w:val="0"/>
          <w:iCs w:val="0"/>
          <w:color w:val="222222"/>
          <w:sz w:val="22"/>
          <w:szCs w:val="22"/>
          <w:rtl w:val="0"/>
        </w:rPr>
        <w:t xml:space="preserve">)</w:t>
      </w:r>
      <w:r w:rsidDel="00000000" w:rsidR="00000000" w:rsidRPr="00000000">
        <w:rPr>
          <w:rtl w:val="0"/>
        </w:rPr>
      </w:r>
    </w:p>
    <w:p w:rsidR="00000000" w:rsidDel="00000000" w:rsidP="00000000" w:rsidRDefault="00000000" w:rsidRPr="00000000" w14:paraId="0000009A">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2"/>
          <w:szCs w:val="22"/>
          <w:rtl w:val="0"/>
        </w:rPr>
        <w:t xml:space="preserve">The downloaded file must contain the clinical feature columns below. </w:t>
      </w:r>
      <w:r w:rsidDel="00000000" w:rsidR="00000000" w:rsidRPr="00000000">
        <w:rPr>
          <w:rFonts w:ascii="Times New Roman" w:cs="Times New Roman" w:eastAsia="Times New Roman" w:hAnsi="Times New Roman"/>
          <w:b w:val="1"/>
          <w:bCs w:val="1"/>
          <w:i w:val="0"/>
          <w:iCs w:val="0"/>
          <w:color w:val="222222"/>
          <w:sz w:val="22"/>
          <w:szCs w:val="22"/>
          <w:rtl w:val="0"/>
        </w:rPr>
        <w:t xml:space="preserve">Diagnosis </w:t>
      </w:r>
      <w:r w:rsidDel="00000000" w:rsidR="00000000" w:rsidRPr="00000000">
        <w:rPr>
          <w:rFonts w:ascii="Times New Roman" w:cs="Times New Roman" w:eastAsia="Times New Roman" w:hAnsi="Times New Roman"/>
          <w:b w:val="1"/>
          <w:bCs w:val="1"/>
          <w:rtl w:val="0"/>
        </w:rPr>
        <w:t xml:space="preserve">is</w:t>
      </w:r>
      <w:r w:rsidDel="00000000" w:rsidR="00000000" w:rsidRPr="00000000">
        <w:rPr>
          <w:rFonts w:ascii="Times New Roman" w:cs="Times New Roman" w:eastAsia="Times New Roman" w:hAnsi="Times New Roman"/>
          <w:b w:val="1"/>
          <w:bCs w:val="1"/>
          <w:i w:val="0"/>
          <w:iCs w:val="0"/>
          <w:color w:val="222222"/>
          <w:sz w:val="22"/>
          <w:szCs w:val="22"/>
          <w:rtl w:val="0"/>
        </w:rPr>
        <w:t xml:space="preserve"> not included.</w:t>
      </w:r>
      <w:r w:rsidDel="00000000" w:rsidR="00000000" w:rsidRPr="00000000">
        <w:rPr>
          <w:rFonts w:ascii="Times New Roman" w:cs="Times New Roman" w:eastAsia="Times New Roman" w:hAnsi="Times New Roman"/>
          <w:i w:val="0"/>
          <w:iCs w:val="0"/>
          <w:color w:val="222222"/>
          <w:sz w:val="22"/>
          <w:szCs w:val="22"/>
          <w:rtl w:val="0"/>
        </w:rPr>
        <w:t xml:space="preserve"> Header names are required; column order may vary. Empty cells indicate missing values.</w:t>
      </w:r>
      <w:r w:rsidDel="00000000" w:rsidR="00000000" w:rsidRPr="00000000">
        <w:rPr>
          <w:rtl w:val="0"/>
        </w:rPr>
      </w:r>
    </w:p>
    <w:tbl>
      <w:tblPr>
        <w:tblStyle w:val="Table4"/>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1f3a5f" w:val="clear"/>
          </w:tcPr>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Field (column)</w:t>
            </w:r>
            <w:r w:rsidDel="00000000" w:rsidR="00000000" w:rsidRPr="00000000">
              <w:rPr>
                <w:rtl w:val="0"/>
              </w:rPr>
            </w:r>
          </w:p>
        </w:tc>
        <w:tc>
          <w:tcPr>
            <w:shd w:fill="1f3a5f" w:val="clear"/>
          </w:tcPr>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Sample Row 1</w:t>
            </w:r>
            <w:r w:rsidDel="00000000" w:rsidR="00000000" w:rsidRPr="00000000">
              <w:rPr>
                <w:rtl w:val="0"/>
              </w:rPr>
            </w:r>
          </w:p>
        </w:tc>
        <w:tc>
          <w:tcPr>
            <w:shd w:fill="1f3a5f" w:val="clear"/>
          </w:tcPr>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ffffff"/>
                <w:sz w:val="20"/>
                <w:szCs w:val="20"/>
                <w:rtl w:val="0"/>
              </w:rPr>
              <w:t xml:space="preserve">Sample Row 2</w:t>
            </w:r>
            <w:r w:rsidDel="00000000" w:rsidR="00000000" w:rsidRPr="00000000">
              <w:rPr>
                <w:rtl w:val="0"/>
              </w:rPr>
            </w:r>
          </w:p>
        </w:tc>
      </w:tr>
      <w:tr>
        <w:trPr>
          <w:cantSplit w:val="0"/>
          <w:tblHeader w:val="0"/>
        </w:trPr>
        <w:tc>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Age</w:t>
            </w:r>
            <w:r w:rsidDel="00000000" w:rsidR="00000000" w:rsidRPr="00000000">
              <w:rPr>
                <w:rtl w:val="0"/>
              </w:rPr>
            </w:r>
          </w:p>
        </w:tc>
        <w:tc>
          <w:tcPr/>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58</w:t>
            </w:r>
            <w:r w:rsidDel="00000000" w:rsidR="00000000" w:rsidRPr="00000000">
              <w:rPr>
                <w:rtl w:val="0"/>
              </w:rPr>
            </w:r>
          </w:p>
        </w:tc>
        <w:tc>
          <w:tcPr/>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45</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Gender</w:t>
            </w:r>
            <w:r w:rsidDel="00000000" w:rsidR="00000000" w:rsidRPr="00000000">
              <w:rPr>
                <w:rtl w:val="0"/>
              </w:rPr>
            </w:r>
          </w:p>
        </w:tc>
        <w:tc>
          <w:tcPr>
            <w:shd w:fill="f3f6f9" w:val="clear"/>
          </w:tcPr>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Female</w:t>
            </w:r>
            <w:r w:rsidDel="00000000" w:rsidR="00000000" w:rsidRPr="00000000">
              <w:rPr>
                <w:rtl w:val="0"/>
              </w:rPr>
            </w:r>
          </w:p>
        </w:tc>
        <w:tc>
          <w:tcPr>
            <w:shd w:fill="f3f6f9" w:val="clear"/>
          </w:tcPr>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Male</w:t>
            </w:r>
            <w:r w:rsidDel="00000000" w:rsidR="00000000" w:rsidRPr="00000000">
              <w:rPr>
                <w:rtl w:val="0"/>
              </w:rPr>
            </w:r>
          </w:p>
        </w:tc>
      </w:tr>
      <w:tr>
        <w:trPr>
          <w:cantSplit w:val="0"/>
          <w:tblHeader w:val="0"/>
        </w:trPr>
        <w:tc>
          <w:tcPr/>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Intraocular Pressure (IOP)</w:t>
            </w:r>
            <w:r w:rsidDel="00000000" w:rsidR="00000000" w:rsidRPr="00000000">
              <w:rPr>
                <w:rtl w:val="0"/>
              </w:rPr>
            </w:r>
          </w:p>
        </w:tc>
        <w:tc>
          <w:tcPr/>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22.5</w:t>
            </w:r>
            <w:r w:rsidDel="00000000" w:rsidR="00000000" w:rsidRPr="00000000">
              <w:rPr>
                <w:rtl w:val="0"/>
              </w:rPr>
            </w:r>
          </w:p>
        </w:tc>
        <w:tc>
          <w:tcPr/>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14.0</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Cup-to-Disc Ratio (CDR)</w:t>
            </w:r>
            <w:r w:rsidDel="00000000" w:rsidR="00000000" w:rsidRPr="00000000">
              <w:rPr>
                <w:rtl w:val="0"/>
              </w:rPr>
            </w:r>
          </w:p>
        </w:tc>
        <w:tc>
          <w:tcPr>
            <w:shd w:fill="f3f6f9" w:val="clear"/>
          </w:tcPr>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0.72</w:t>
            </w:r>
            <w:r w:rsidDel="00000000" w:rsidR="00000000" w:rsidRPr="00000000">
              <w:rPr>
                <w:rtl w:val="0"/>
              </w:rPr>
            </w:r>
          </w:p>
        </w:tc>
        <w:tc>
          <w:tcPr>
            <w:shd w:fill="f3f6f9" w:val="clear"/>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0.35</w:t>
            </w:r>
            <w:r w:rsidDel="00000000" w:rsidR="00000000" w:rsidRPr="00000000">
              <w:rPr>
                <w:rtl w:val="0"/>
              </w:rPr>
            </w:r>
          </w:p>
        </w:tc>
      </w:tr>
      <w:tr>
        <w:trPr>
          <w:cantSplit w:val="0"/>
          <w:tblHeader w:val="0"/>
        </w:trPr>
        <w:tc>
          <w:tcPr/>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Family History</w:t>
            </w:r>
            <w:r w:rsidDel="00000000" w:rsidR="00000000" w:rsidRPr="00000000">
              <w:rPr>
                <w:rtl w:val="0"/>
              </w:rPr>
            </w:r>
          </w:p>
        </w:tc>
        <w:tc>
          <w:tcPr/>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Yes</w:t>
            </w:r>
            <w:r w:rsidDel="00000000" w:rsidR="00000000" w:rsidRPr="00000000">
              <w:rPr>
                <w:rtl w:val="0"/>
              </w:rPr>
            </w:r>
          </w:p>
        </w:tc>
        <w:tc>
          <w:tcPr/>
          <w:p w:rsidR="00000000" w:rsidDel="00000000" w:rsidP="00000000" w:rsidRDefault="00000000" w:rsidRPr="00000000" w14:paraId="000000AC">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No</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Visual Field Test Results</w:t>
            </w:r>
            <w:r w:rsidDel="00000000" w:rsidR="00000000" w:rsidRPr="00000000">
              <w:rPr>
                <w:rtl w:val="0"/>
              </w:rPr>
            </w:r>
          </w:p>
        </w:tc>
        <w:tc>
          <w:tcPr>
            <w:shd w:fill="f3f6f9" w:val="clear"/>
          </w:tcPr>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Abnormal</w:t>
            </w:r>
            <w:r w:rsidDel="00000000" w:rsidR="00000000" w:rsidRPr="00000000">
              <w:rPr>
                <w:rtl w:val="0"/>
              </w:rPr>
            </w:r>
          </w:p>
        </w:tc>
        <w:tc>
          <w:tcPr>
            <w:shd w:fill="f3f6f9" w:val="clear"/>
          </w:tcPr>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Normal</w:t>
            </w:r>
            <w:r w:rsidDel="00000000" w:rsidR="00000000" w:rsidRPr="00000000">
              <w:rPr>
                <w:rtl w:val="0"/>
              </w:rPr>
            </w:r>
          </w:p>
        </w:tc>
      </w:tr>
      <w:tr>
        <w:trPr>
          <w:cantSplit w:val="0"/>
          <w:tblHeader w:val="0"/>
        </w:trPr>
        <w:tc>
          <w:tcPr/>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Pachymetry</w:t>
            </w:r>
            <w:r w:rsidDel="00000000" w:rsidR="00000000" w:rsidRPr="00000000">
              <w:rPr>
                <w:rtl w:val="0"/>
              </w:rPr>
            </w:r>
          </w:p>
        </w:tc>
        <w:tc>
          <w:tcPr/>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540</w:t>
            </w:r>
            <w:r w:rsidDel="00000000" w:rsidR="00000000" w:rsidRPr="00000000">
              <w:rPr>
                <w:rtl w:val="0"/>
              </w:rPr>
            </w:r>
          </w:p>
        </w:tc>
        <w:tc>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555</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Visual Symptoms</w:t>
            </w:r>
            <w:r w:rsidDel="00000000" w:rsidR="00000000" w:rsidRPr="00000000">
              <w:rPr>
                <w:rtl w:val="0"/>
              </w:rPr>
            </w:r>
          </w:p>
        </w:tc>
        <w:tc>
          <w:tcPr>
            <w:shd w:fill="f3f6f9" w:val="clear"/>
          </w:tcPr>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Blurred vision</w:t>
            </w:r>
            <w:r w:rsidDel="00000000" w:rsidR="00000000" w:rsidRPr="00000000">
              <w:rPr>
                <w:rtl w:val="0"/>
              </w:rPr>
            </w:r>
          </w:p>
        </w:tc>
        <w:tc>
          <w:tcPr>
            <w:shd w:fill="f3f6f9" w:val="clear"/>
          </w:tcPr>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color w:val="222222"/>
                <w:sz w:val="20"/>
                <w:szCs w:val="20"/>
                <w:rtl w:val="0"/>
              </w:rPr>
              <w:t xml:space="preserve">None</w:t>
            </w:r>
            <w:r w:rsidDel="00000000" w:rsidR="00000000" w:rsidRPr="00000000">
              <w:rPr>
                <w:rtl w:val="0"/>
              </w:rPr>
            </w:r>
          </w:p>
        </w:tc>
      </w:tr>
      <w:tr>
        <w:trPr>
          <w:cantSplit w:val="0"/>
          <w:tblHeader w:val="0"/>
        </w:trPr>
        <w:tc>
          <w:tcPr/>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Glaucoma Type</w:t>
            </w:r>
            <w:r w:rsidDel="00000000" w:rsidR="00000000" w:rsidRPr="00000000">
              <w:rPr>
                <w:rtl w:val="0"/>
              </w:rPr>
            </w:r>
          </w:p>
        </w:tc>
        <w:tc>
          <w:tcPr/>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Normal-Tension Glaucoma</w:t>
            </w:r>
            <w:r w:rsidDel="00000000" w:rsidR="00000000" w:rsidRPr="00000000">
              <w:rPr>
                <w:rtl w:val="0"/>
              </w:rPr>
            </w:r>
          </w:p>
        </w:tc>
        <w:tc>
          <w:tcPr/>
          <w:p w:rsidR="00000000" w:rsidDel="00000000" w:rsidP="00000000" w:rsidRDefault="00000000" w:rsidRPr="00000000" w14:paraId="000000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Secondary Glaucoma</w:t>
            </w:r>
          </w:p>
        </w:tc>
      </w:tr>
    </w:tbl>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after="120" w:lineRule="auto"/>
        <w:rPr>
          <w:rFonts w:ascii="Times New Roman" w:cs="Times New Roman" w:eastAsia="Times New Roman" w:hAnsi="Times New Roman"/>
          <w:i w:val="1"/>
          <w:iCs w:val="1"/>
          <w:color w:val="222222"/>
          <w:sz w:val="22"/>
          <w:szCs w:val="22"/>
        </w:rPr>
      </w:pPr>
      <w:r w:rsidDel="00000000" w:rsidR="00000000" w:rsidRPr="00000000">
        <w:rPr>
          <w:rFonts w:ascii="Times New Roman" w:cs="Times New Roman" w:eastAsia="Times New Roman" w:hAnsi="Times New Roman"/>
          <w:i w:val="1"/>
          <w:iCs w:val="1"/>
          <w:color w:val="222222"/>
          <w:sz w:val="22"/>
          <w:szCs w:val="22"/>
          <w:rtl w:val="0"/>
        </w:rPr>
        <w:t xml:space="preserve">Example note: your API must return one prediction per input row, including rows with missing optional test results.</w:t>
      </w:r>
    </w:p>
    <w:p w:rsidR="00000000" w:rsidDel="00000000" w:rsidP="00000000" w:rsidRDefault="00000000" w:rsidRPr="00000000" w14:paraId="000000BB">
      <w:pPr>
        <w:spacing w:after="12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f3a5f"/>
          <w:sz w:val="24"/>
          <w:szCs w:val="24"/>
          <w:rtl w:val="0"/>
        </w:rPr>
        <w:t xml:space="preserve">7.2  Response</w:t>
      </w:r>
      <w:r w:rsidDel="00000000" w:rsidR="00000000" w:rsidRPr="00000000">
        <w:rPr>
          <w:rtl w:val="0"/>
        </w:rPr>
      </w:r>
    </w:p>
    <w:p w:rsidR="00000000" w:rsidDel="00000000" w:rsidP="00000000" w:rsidRDefault="00000000" w:rsidRPr="00000000" w14:paraId="000000BC">
      <w:pPr>
        <w:spacing w:after="120" w:before="200" w:lineRule="auto"/>
        <w:rPr>
          <w:rFonts w:ascii="Times New Roman" w:cs="Times New Roman" w:eastAsia="Times New Roman" w:hAnsi="Times New Roman"/>
          <w:b w:val="1"/>
          <w:bCs w:val="1"/>
          <w:i w:val="0"/>
          <w:iCs w:val="0"/>
          <w:color w:val="222222"/>
          <w:sz w:val="22"/>
          <w:szCs w:val="22"/>
        </w:rPr>
      </w:pPr>
      <w:r w:rsidDel="00000000" w:rsidR="00000000" w:rsidRPr="00000000">
        <w:rPr>
          <w:rFonts w:ascii="Times New Roman" w:cs="Times New Roman" w:eastAsia="Times New Roman" w:hAnsi="Times New Roman"/>
          <w:b w:val="1"/>
          <w:bCs w:val="1"/>
          <w:i w:val="0"/>
          <w:iCs w:val="0"/>
          <w:color w:val="222222"/>
          <w:sz w:val="22"/>
          <w:szCs w:val="22"/>
          <w:rtl w:val="0"/>
        </w:rPr>
        <w:t xml:space="preserve">Response Body:</w:t>
      </w:r>
    </w:p>
    <w:p w:rsidR="00000000" w:rsidDel="00000000" w:rsidP="00000000" w:rsidRDefault="00000000" w:rsidRPr="00000000" w14:paraId="000000B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"data": {</w:t>
      </w:r>
    </w:p>
    <w:p w:rsidR="00000000" w:rsidDel="00000000" w:rsidP="00000000" w:rsidRDefault="00000000" w:rsidRPr="00000000" w14:paraId="000000B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"outputFile": "http://0.0.0.0:5004/download/glaucoma_predictions_20260729_000748.csv",</w:t>
      </w:r>
    </w:p>
    <w:p w:rsidR="00000000" w:rsidDel="00000000" w:rsidP="00000000" w:rsidRDefault="00000000" w:rsidRPr="00000000" w14:paraId="000000C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"timestamp": "20260729_000748"</w:t>
      </w:r>
    </w:p>
    <w:p w:rsidR="00000000" w:rsidDel="00000000" w:rsidP="00000000" w:rsidRDefault="00000000" w:rsidRPr="00000000" w14:paraId="000000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"message": "Predictions generated successfully",</w:t>
      </w:r>
    </w:p>
    <w:p w:rsidR="00000000" w:rsidDel="00000000" w:rsidP="00000000" w:rsidRDefault="00000000" w:rsidRPr="00000000" w14:paraId="000000C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"status": "success"</w:t>
      </w:r>
    </w:p>
    <w:p w:rsidR="00000000" w:rsidDel="00000000" w:rsidP="00000000" w:rsidRDefault="00000000" w:rsidRPr="00000000" w14:paraId="000000C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C5">
      <w:pPr>
        <w:spacing w:after="120" w:before="20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6">
      <w:pPr>
        <w:spacing w:after="120" w:lineRule="auto"/>
        <w:rPr>
          <w:rFonts w:ascii="Times New Roman" w:cs="Times New Roman" w:eastAsia="Times New Roman" w:hAnsi="Times New Roman"/>
          <w:b w:val="1"/>
          <w:bCs w:val="1"/>
          <w:i w:val="0"/>
          <w:iCs w:val="0"/>
          <w:color w:val="222222"/>
          <w:sz w:val="22"/>
          <w:szCs w:val="22"/>
        </w:rPr>
      </w:pPr>
      <w:r w:rsidDel="00000000" w:rsidR="00000000" w:rsidRPr="00000000">
        <w:rPr>
          <w:rFonts w:ascii="Times New Roman" w:cs="Times New Roman" w:eastAsia="Times New Roman" w:hAnsi="Times New Roman"/>
          <w:b w:val="1"/>
          <w:bCs w:val="1"/>
          <w:i w:val="0"/>
          <w:iCs w:val="0"/>
          <w:color w:val="222222"/>
          <w:sz w:val="22"/>
          <w:szCs w:val="22"/>
          <w:rtl w:val="0"/>
        </w:rPr>
        <w:t xml:space="preserve">Fields:</w:t>
      </w:r>
    </w:p>
    <w:p w:rsidR="00000000" w:rsidDel="00000000" w:rsidP="00000000" w:rsidRDefault="00000000" w:rsidRPr="00000000" w14:paraId="000000C7">
      <w:pPr>
        <w:spacing w:after="160" w:line="27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color w:val="000000"/>
          <w:rtl w:val="0"/>
        </w:rPr>
        <w:t xml:space="preserve">The output CSV includes all input fields from the request, plus the model </w:t>
      </w:r>
      <w:r w:rsidDel="00000000" w:rsidR="00000000" w:rsidRPr="00000000">
        <w:rPr>
          <w:rFonts w:ascii="Times New Roman" w:cs="Times New Roman" w:eastAsia="Times New Roman" w:hAnsi="Times New Roman"/>
          <w:b w:val="1"/>
          <w:bCs w:val="1"/>
          <w:sz w:val="20"/>
          <w:szCs w:val="20"/>
          <w:rtl w:val="0"/>
        </w:rPr>
        <w:t xml:space="preserve">Diagnosis</w:t>
      </w:r>
      <w:r w:rsidDel="00000000" w:rsidR="00000000" w:rsidRPr="00000000">
        <w:rPr>
          <w:rFonts w:ascii="Times New Roman" w:cs="Times New Roman" w:eastAsia="Times New Roman" w:hAnsi="Times New Roman"/>
          <w:color w:val="000000"/>
          <w:rtl w:val="0"/>
        </w:rPr>
        <w:t xml:space="preserve"> for each row.</w:t>
      </w:r>
      <w:r w:rsidDel="00000000" w:rsidR="00000000" w:rsidRPr="00000000">
        <w:rPr>
          <w:rtl w:val="0"/>
        </w:rPr>
      </w:r>
    </w:p>
    <w:tbl>
      <w:tblPr>
        <w:tblStyle w:val="Table5"/>
        <w:tblW w:w="99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3324"/>
        <w:gridCol w:w="3324"/>
        <w:tblGridChange w:id="0">
          <w:tblGrid>
            <w:gridCol w:w="3324"/>
            <w:gridCol w:w="3324"/>
            <w:gridCol w:w="3324"/>
          </w:tblGrid>
        </w:tblGridChange>
      </w:tblGrid>
      <w:tr>
        <w:trPr>
          <w:cantSplit w:val="0"/>
          <w:tblHeader w:val="0"/>
        </w:trPr>
        <w:tc>
          <w:tcPr>
            <w:shd w:fill="1f3a5f" w:val="clear"/>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Field</w:t>
            </w:r>
            <w:r w:rsidDel="00000000" w:rsidR="00000000" w:rsidRPr="00000000">
              <w:rPr>
                <w:rtl w:val="0"/>
              </w:rPr>
            </w:r>
          </w:p>
        </w:tc>
        <w:tc>
          <w:tcPr>
            <w:shd w:fill="1f3a5f" w:val="clear"/>
          </w:tcPr>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Type</w:t>
            </w:r>
            <w:r w:rsidDel="00000000" w:rsidR="00000000" w:rsidRPr="00000000">
              <w:rPr>
                <w:rtl w:val="0"/>
              </w:rPr>
            </w:r>
          </w:p>
        </w:tc>
        <w:tc>
          <w:tcPr>
            <w:shd w:fill="1f3a5f" w:val="clear"/>
          </w:tcPr>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20"/>
                <w:szCs w:val="20"/>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Patient ID</w:t>
            </w:r>
            <w:r w:rsidDel="00000000" w:rsidR="00000000" w:rsidRPr="00000000">
              <w:rPr>
                <w:rtl w:val="0"/>
              </w:rPr>
            </w:r>
          </w:p>
        </w:tc>
        <w:tc>
          <w:tcPr/>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 / string</w:t>
            </w:r>
            <w:r w:rsidDel="00000000" w:rsidR="00000000" w:rsidRPr="00000000">
              <w:rPr>
                <w:rtl w:val="0"/>
              </w:rPr>
            </w:r>
          </w:p>
        </w:tc>
        <w:tc>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Patient identifier. May appear in CSV for row tracking; do not use as a predictive feature.</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Age</w:t>
            </w:r>
            <w:r w:rsidDel="00000000" w:rsidR="00000000" w:rsidRPr="00000000">
              <w:rPr>
                <w:rtl w:val="0"/>
              </w:rPr>
            </w:r>
          </w:p>
        </w:tc>
        <w:tc>
          <w:tcPr>
            <w:shd w:fill="f3f6f9" w:val="clear"/>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integer</w:t>
            </w:r>
            <w:r w:rsidDel="00000000" w:rsidR="00000000" w:rsidRPr="00000000">
              <w:rPr>
                <w:rtl w:val="0"/>
              </w:rPr>
            </w:r>
          </w:p>
        </w:tc>
        <w:tc>
          <w:tcPr>
            <w:shd w:fill="f3f6f9" w:val="clear"/>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Patient age in years.</w:t>
            </w:r>
            <w:r w:rsidDel="00000000" w:rsidR="00000000" w:rsidRPr="00000000">
              <w:rPr>
                <w:rtl w:val="0"/>
              </w:rPr>
            </w:r>
          </w:p>
        </w:tc>
      </w:tr>
      <w:tr>
        <w:trPr>
          <w:cantSplit w:val="0"/>
          <w:tblHeader w:val="0"/>
        </w:trPr>
        <w:tc>
          <w:tcPr/>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Gender</w:t>
            </w:r>
            <w:r w:rsidDel="00000000" w:rsidR="00000000" w:rsidRPr="00000000">
              <w:rPr>
                <w:rtl w:val="0"/>
              </w:rPr>
            </w:r>
          </w:p>
        </w:tc>
        <w:tc>
          <w:tcPr/>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category</w:t>
            </w:r>
            <w:r w:rsidDel="00000000" w:rsidR="00000000" w:rsidRPr="00000000">
              <w:rPr>
                <w:rtl w:val="0"/>
              </w:rPr>
            </w:r>
          </w:p>
        </w:tc>
        <w:tc>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Patient gender.</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Visual Acuity Measurements</w:t>
            </w:r>
            <w:r w:rsidDel="00000000" w:rsidR="00000000" w:rsidRPr="00000000">
              <w:rPr>
                <w:rtl w:val="0"/>
              </w:rPr>
            </w:r>
          </w:p>
        </w:tc>
        <w:tc>
          <w:tcPr>
            <w:shd w:fill="f3f6f9" w:val="clear"/>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float / category</w:t>
            </w:r>
            <w:r w:rsidDel="00000000" w:rsidR="00000000" w:rsidRPr="00000000">
              <w:rPr>
                <w:rtl w:val="0"/>
              </w:rPr>
            </w:r>
          </w:p>
        </w:tc>
        <w:tc>
          <w:tcPr>
            <w:shd w:fill="f3f6f9" w:val="clear"/>
          </w:tcPr>
          <w:p w:rsidR="00000000" w:rsidDel="00000000" w:rsidP="00000000" w:rsidRDefault="00000000" w:rsidRPr="00000000" w14:paraId="000000D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Visual acuity test result.</w:t>
            </w:r>
            <w:r w:rsidDel="00000000" w:rsidR="00000000" w:rsidRPr="00000000">
              <w:rPr>
                <w:rtl w:val="0"/>
              </w:rPr>
            </w:r>
          </w:p>
        </w:tc>
      </w:tr>
      <w:tr>
        <w:trPr>
          <w:cantSplit w:val="0"/>
          <w:tblHeader w:val="0"/>
        </w:trPr>
        <w:tc>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Intraocular Pressure (IOP)</w:t>
            </w:r>
            <w:r w:rsidDel="00000000" w:rsidR="00000000" w:rsidRPr="00000000">
              <w:rPr>
                <w:rtl w:val="0"/>
              </w:rPr>
            </w:r>
          </w:p>
        </w:tc>
        <w:tc>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float</w:t>
            </w:r>
            <w:r w:rsidDel="00000000" w:rsidR="00000000" w:rsidRPr="00000000">
              <w:rPr>
                <w:rtl w:val="0"/>
              </w:rPr>
            </w:r>
          </w:p>
        </w:tc>
        <w:tc>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Eye pressure in mmHg — primary glaucoma risk indicator.</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Cup-to-Disc Ratio (CDR)</w:t>
            </w:r>
            <w:r w:rsidDel="00000000" w:rsidR="00000000" w:rsidRPr="00000000">
              <w:rPr>
                <w:rtl w:val="0"/>
              </w:rPr>
            </w:r>
          </w:p>
        </w:tc>
        <w:tc>
          <w:tcPr>
            <w:shd w:fill="f3f6f9" w:val="clear"/>
          </w:tcPr>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float</w:t>
            </w:r>
            <w:r w:rsidDel="00000000" w:rsidR="00000000" w:rsidRPr="00000000">
              <w:rPr>
                <w:rtl w:val="0"/>
              </w:rPr>
            </w:r>
          </w:p>
        </w:tc>
        <w:tc>
          <w:tcPr>
            <w:shd w:fill="f3f6f9" w:val="clear"/>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Optic cup-to-disc ratio; elevated CDR is a key structural indicator.</w:t>
            </w:r>
            <w:r w:rsidDel="00000000" w:rsidR="00000000" w:rsidRPr="00000000">
              <w:rPr>
                <w:rtl w:val="0"/>
              </w:rPr>
            </w:r>
          </w:p>
        </w:tc>
      </w:tr>
      <w:tr>
        <w:trPr>
          <w:cantSplit w:val="0"/>
          <w:tblHeader w:val="0"/>
        </w:trPr>
        <w:tc>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Family History</w:t>
            </w:r>
            <w:r w:rsidDel="00000000" w:rsidR="00000000" w:rsidRPr="00000000">
              <w:rPr>
                <w:rtl w:val="0"/>
              </w:rPr>
            </w:r>
          </w:p>
        </w:tc>
        <w:tc>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category</w:t>
            </w:r>
            <w:r w:rsidDel="00000000" w:rsidR="00000000" w:rsidRPr="00000000">
              <w:rPr>
                <w:rtl w:val="0"/>
              </w:rPr>
            </w:r>
          </w:p>
        </w:tc>
        <w:tc>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Family history of glaucoma (e.g. Y/N).</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Medical History</w:t>
            </w:r>
            <w:r w:rsidDel="00000000" w:rsidR="00000000" w:rsidRPr="00000000">
              <w:rPr>
                <w:rtl w:val="0"/>
              </w:rPr>
            </w:r>
          </w:p>
        </w:tc>
        <w:tc>
          <w:tcPr>
            <w:shd w:fill="f3f6f9" w:val="clear"/>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category</w:t>
            </w:r>
            <w:r w:rsidDel="00000000" w:rsidR="00000000" w:rsidRPr="00000000">
              <w:rPr>
                <w:rtl w:val="0"/>
              </w:rPr>
            </w:r>
          </w:p>
        </w:tc>
        <w:tc>
          <w:tcPr>
            <w:shd w:fill="f3f6f9" w:val="clear"/>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Relevant systemic conditions.</w:t>
            </w:r>
            <w:r w:rsidDel="00000000" w:rsidR="00000000" w:rsidRPr="00000000">
              <w:rPr>
                <w:rtl w:val="0"/>
              </w:rPr>
            </w:r>
          </w:p>
        </w:tc>
      </w:tr>
      <w:tr>
        <w:trPr>
          <w:cantSplit w:val="0"/>
          <w:tblHeader w:val="0"/>
        </w:trPr>
        <w:tc>
          <w:tcPr/>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Medication Usage</w:t>
            </w:r>
            <w:r w:rsidDel="00000000" w:rsidR="00000000" w:rsidRPr="00000000">
              <w:rPr>
                <w:rtl w:val="0"/>
              </w:rPr>
            </w:r>
          </w:p>
        </w:tc>
        <w:tc>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category</w:t>
            </w:r>
            <w:r w:rsidDel="00000000" w:rsidR="00000000" w:rsidRPr="00000000">
              <w:rPr>
                <w:rtl w:val="0"/>
              </w:rPr>
            </w:r>
          </w:p>
        </w:tc>
        <w:tc>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Current medications relevant to eye pressure or systemic risk.</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Visual Field Test Results</w:t>
            </w:r>
            <w:r w:rsidDel="00000000" w:rsidR="00000000" w:rsidRPr="00000000">
              <w:rPr>
                <w:rtl w:val="0"/>
              </w:rPr>
            </w:r>
          </w:p>
        </w:tc>
        <w:tc>
          <w:tcPr>
            <w:shd w:fill="f3f6f9" w:val="clear"/>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category</w:t>
            </w:r>
            <w:r w:rsidDel="00000000" w:rsidR="00000000" w:rsidRPr="00000000">
              <w:rPr>
                <w:rtl w:val="0"/>
              </w:rPr>
            </w:r>
          </w:p>
        </w:tc>
        <w:tc>
          <w:tcPr>
            <w:shd w:fill="f3f6f9" w:val="clear"/>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Perimetry / visual field outcome.</w:t>
            </w:r>
            <w:r w:rsidDel="00000000" w:rsidR="00000000" w:rsidRPr="00000000">
              <w:rPr>
                <w:rtl w:val="0"/>
              </w:rPr>
            </w:r>
          </w:p>
        </w:tc>
      </w:tr>
      <w:tr>
        <w:trPr>
          <w:cantSplit w:val="0"/>
          <w:tblHeader w:val="0"/>
        </w:trPr>
        <w:tc>
          <w:tcPr/>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Optical Coherence Tomography (OCT) Results</w:t>
            </w:r>
            <w:r w:rsidDel="00000000" w:rsidR="00000000" w:rsidRPr="00000000">
              <w:rPr>
                <w:rtl w:val="0"/>
              </w:rPr>
            </w:r>
          </w:p>
        </w:tc>
        <w:tc>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category</w:t>
            </w:r>
            <w:r w:rsidDel="00000000" w:rsidR="00000000" w:rsidRPr="00000000">
              <w:rPr>
                <w:rtl w:val="0"/>
              </w:rPr>
            </w:r>
          </w:p>
        </w:tc>
        <w:tc>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OCT nerve fiber layer finding.</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Pachymetry</w:t>
            </w:r>
            <w:r w:rsidDel="00000000" w:rsidR="00000000" w:rsidRPr="00000000">
              <w:rPr>
                <w:rtl w:val="0"/>
              </w:rPr>
            </w:r>
          </w:p>
        </w:tc>
        <w:tc>
          <w:tcPr>
            <w:shd w:fill="f3f6f9" w:val="clear"/>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float</w:t>
            </w:r>
            <w:r w:rsidDel="00000000" w:rsidR="00000000" w:rsidRPr="00000000">
              <w:rPr>
                <w:rtl w:val="0"/>
              </w:rPr>
            </w:r>
          </w:p>
        </w:tc>
        <w:tc>
          <w:tcPr>
            <w:shd w:fill="f3f6f9" w:val="clear"/>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Central corneal thickness (µm).</w:t>
            </w:r>
            <w:r w:rsidDel="00000000" w:rsidR="00000000" w:rsidRPr="00000000">
              <w:rPr>
                <w:rtl w:val="0"/>
              </w:rPr>
            </w:r>
          </w:p>
        </w:tc>
      </w:tr>
      <w:tr>
        <w:trPr>
          <w:cantSplit w:val="0"/>
          <w:tblHeader w:val="0"/>
        </w:trPr>
        <w:tc>
          <w:tcPr/>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Cataract Status</w:t>
            </w:r>
            <w:r w:rsidDel="00000000" w:rsidR="00000000" w:rsidRPr="00000000">
              <w:rPr>
                <w:rtl w:val="0"/>
              </w:rPr>
            </w:r>
          </w:p>
        </w:tc>
        <w:tc>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category</w:t>
            </w:r>
            <w:r w:rsidDel="00000000" w:rsidR="00000000" w:rsidRPr="00000000">
              <w:rPr>
                <w:rtl w:val="0"/>
              </w:rPr>
            </w:r>
          </w:p>
        </w:tc>
        <w:tc>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Cataract presence or stage.</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F2">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Angle Closure Status</w:t>
            </w:r>
            <w:r w:rsidDel="00000000" w:rsidR="00000000" w:rsidRPr="00000000">
              <w:rPr>
                <w:rtl w:val="0"/>
              </w:rPr>
            </w:r>
          </w:p>
        </w:tc>
        <w:tc>
          <w:tcPr>
            <w:shd w:fill="f3f6f9" w:val="clear"/>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category</w:t>
            </w:r>
            <w:r w:rsidDel="00000000" w:rsidR="00000000" w:rsidRPr="00000000">
              <w:rPr>
                <w:rtl w:val="0"/>
              </w:rPr>
            </w:r>
          </w:p>
        </w:tc>
        <w:tc>
          <w:tcPr>
            <w:shd w:fill="f3f6f9" w:val="clear"/>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Open-angle / angle-closure / narrow-angle finding.</w:t>
            </w:r>
            <w:r w:rsidDel="00000000" w:rsidR="00000000" w:rsidRPr="00000000">
              <w:rPr>
                <w:rtl w:val="0"/>
              </w:rPr>
            </w:r>
          </w:p>
        </w:tc>
      </w:tr>
      <w:tr>
        <w:trPr>
          <w:cantSplit w:val="0"/>
          <w:tblHeader w:val="0"/>
        </w:trPr>
        <w:tc>
          <w:tcPr/>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Visual Symptoms</w:t>
            </w:r>
            <w:r w:rsidDel="00000000" w:rsidR="00000000" w:rsidRPr="00000000">
              <w:rPr>
                <w:rtl w:val="0"/>
              </w:rPr>
            </w:r>
          </w:p>
        </w:tc>
        <w:tc>
          <w:tcPr/>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category / text</w:t>
            </w:r>
            <w:r w:rsidDel="00000000" w:rsidR="00000000" w:rsidRPr="00000000">
              <w:rPr>
                <w:rtl w:val="0"/>
              </w:rPr>
            </w:r>
          </w:p>
        </w:tc>
        <w:tc>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Reported symptoms (e.g. blurred vision, halos, eye pain).</w:t>
            </w:r>
            <w:r w:rsidDel="00000000" w:rsidR="00000000" w:rsidRPr="00000000">
              <w:rPr>
                <w:rtl w:val="0"/>
              </w:rPr>
            </w:r>
          </w:p>
        </w:tc>
      </w:tr>
      <w:tr>
        <w:trPr>
          <w:cantSplit w:val="0"/>
          <w:tblHeader w:val="0"/>
        </w:trPr>
        <w:tc>
          <w:tcPr>
            <w:shd w:fill="f3f6f9" w:val="clear"/>
          </w:tcPr>
          <w:p w:rsidR="00000000" w:rsidDel="00000000" w:rsidP="00000000" w:rsidRDefault="00000000" w:rsidRPr="00000000" w14:paraId="000000F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Diagnosis</w:t>
            </w:r>
            <w:r w:rsidDel="00000000" w:rsidR="00000000" w:rsidRPr="00000000">
              <w:rPr>
                <w:rtl w:val="0"/>
              </w:rPr>
            </w:r>
          </w:p>
        </w:tc>
        <w:tc>
          <w:tcPr>
            <w:shd w:fill="f3f6f9" w:val="clear"/>
          </w:tcPr>
          <w:p w:rsidR="00000000" w:rsidDel="00000000" w:rsidP="00000000" w:rsidRDefault="00000000" w:rsidRPr="00000000" w14:paraId="000000F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category</w:t>
            </w:r>
            <w:r w:rsidDel="00000000" w:rsidR="00000000" w:rsidRPr="00000000">
              <w:rPr>
                <w:rtl w:val="0"/>
              </w:rPr>
            </w:r>
          </w:p>
        </w:tc>
        <w:tc>
          <w:tcPr>
            <w:shd w:fill="f3f6f9" w:val="clear"/>
          </w:tcPr>
          <w:p w:rsidR="00000000" w:rsidDel="00000000" w:rsidP="00000000" w:rsidRDefault="00000000" w:rsidRPr="00000000" w14:paraId="000000F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sz w:val="20"/>
                <w:szCs w:val="20"/>
                <w:rtl w:val="0"/>
              </w:rPr>
              <w:t xml:space="preserve">Training label only: Glaucoma or No Glaucoma. Not present at inference.</w:t>
            </w:r>
            <w:r w:rsidDel="00000000" w:rsidR="00000000" w:rsidRPr="00000000">
              <w:rPr>
                <w:rtl w:val="0"/>
              </w:rPr>
            </w:r>
          </w:p>
        </w:tc>
      </w:tr>
      <w:tr>
        <w:trPr>
          <w:cantSplit w:val="0"/>
          <w:tblHeader w:val="0"/>
        </w:trPr>
        <w:tc>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Glaucoma Type</w:t>
            </w:r>
            <w:r w:rsidDel="00000000" w:rsidR="00000000" w:rsidRPr="00000000">
              <w:rPr>
                <w:rtl w:val="0"/>
              </w:rPr>
            </w:r>
          </w:p>
        </w:tc>
        <w:tc>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category</w:t>
            </w:r>
            <w:r w:rsidDel="00000000" w:rsidR="00000000" w:rsidRPr="00000000">
              <w:rPr>
                <w:rtl w:val="0"/>
              </w:rPr>
            </w:r>
          </w:p>
        </w:tc>
        <w:tc>
          <w:tcPr/>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Glaucoma subtype.</w:t>
            </w:r>
            <w:r w:rsidDel="00000000" w:rsidR="00000000" w:rsidRPr="00000000">
              <w:rPr>
                <w:rtl w:val="0"/>
              </w:rPr>
            </w:r>
          </w:p>
        </w:tc>
      </w:tr>
    </w:tbl>
    <w:p w:rsidR="00000000" w:rsidDel="00000000" w:rsidP="00000000" w:rsidRDefault="00000000" w:rsidRPr="00000000" w14:paraId="000000F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to find ground truth (Diagnosis): </w:t>
      </w:r>
      <w:r w:rsidDel="00000000" w:rsidR="00000000" w:rsidRPr="00000000">
        <w:rPr>
          <w:rFonts w:ascii="Times New Roman" w:cs="Times New Roman" w:eastAsia="Times New Roman" w:hAnsi="Times New Roman"/>
          <w:rtl w:val="0"/>
        </w:rPr>
        <w:t xml:space="preserve">Ground truth is the labeled Diagnosis column in the organizer-provided CSV (Glaucoma or No Glaucoma). The inference input CSV does not include this column — your model predicts it from the clinical examination features only (e.g. Age, Gender, IOP, CDR, family/medical history, visual field, OCT, Pachymetry, cataract/angle status, visual symptoms; do not use Patient ID as a feature). To measure performance, compare each predicted Diagnosis to the corresponding ground-truth label in the same row order (do not drop rows with missing values). Focus on F1 and ROC-AUC for the Glaucoma (positive) class, not accuracy alone.</w:t>
      </w:r>
    </w:p>
    <w:p w:rsidR="00000000" w:rsidDel="00000000" w:rsidP="00000000" w:rsidRDefault="00000000" w:rsidRPr="00000000" w14:paraId="00000100">
      <w:pPr>
        <w:spacing w:after="12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f3a5f"/>
          <w:sz w:val="24"/>
          <w:szCs w:val="24"/>
          <w:rtl w:val="0"/>
        </w:rPr>
        <w:t xml:space="preserve">7.3  Response Rules</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One output row per input row, preserving order</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Output data-row count must equal input data-row count</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Do not drop rows with missing clinical fields</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Do not invert label or probability semantics (probability must be P(Glaucoma = 1))</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Pipeline must not require Diagnosis</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Patient ID as predictive inputs</w:t>
      </w:r>
      <w:r w:rsidDel="00000000" w:rsidR="00000000" w:rsidRPr="00000000">
        <w:rPr>
          <w:rtl w:val="0"/>
        </w:rPr>
      </w:r>
    </w:p>
    <w:p w:rsidR="00000000" w:rsidDel="00000000" w:rsidP="00000000" w:rsidRDefault="00000000" w:rsidRPr="00000000" w14:paraId="00000106">
      <w:pPr>
        <w:pBdr>
          <w:bottom w:color="0e7c7b" w:space="4" w:sz="12" w:val="single"/>
        </w:pBdr>
        <w:spacing w:after="16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e7c7b"/>
          <w:sz w:val="28"/>
          <w:szCs w:val="28"/>
          <w:rtl w:val="0"/>
        </w:rPr>
        <w:t xml:space="preserve">8.  </w:t>
      </w:r>
      <w:r w:rsidDel="00000000" w:rsidR="00000000" w:rsidRPr="00000000">
        <w:rPr>
          <w:rFonts w:ascii="Times New Roman" w:cs="Times New Roman" w:eastAsia="Times New Roman" w:hAnsi="Times New Roman"/>
          <w:b w:val="1"/>
          <w:bCs w:val="1"/>
          <w:i w:val="0"/>
          <w:iCs w:val="0"/>
          <w:color w:val="1f3a5f"/>
          <w:sz w:val="28"/>
          <w:szCs w:val="28"/>
          <w:rtl w:val="0"/>
        </w:rPr>
        <w:t xml:space="preserve">Submission Requirements</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model.pkl — trained model artifact loaded by the API (used for smoke-testing</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API endpoint URL — publicly reachable service implementing Section 7</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Submission notes — library versions, non-default decision threshold, optional review confidence cutoff</w:t>
      </w:r>
    </w:p>
    <w:p w:rsidR="00000000" w:rsidDel="00000000" w:rsidP="00000000" w:rsidRDefault="00000000" w:rsidRPr="00000000" w14:paraId="0000010A">
      <w:pPr>
        <w:pBdr>
          <w:bottom w:color="0e7c7b" w:space="4" w:sz="12" w:val="single"/>
        </w:pBdr>
        <w:spacing w:after="160" w:before="2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e7c7b"/>
          <w:sz w:val="28"/>
          <w:szCs w:val="28"/>
          <w:rtl w:val="0"/>
        </w:rPr>
        <w:t xml:space="preserve">9.  </w:t>
      </w:r>
      <w:r w:rsidDel="00000000" w:rsidR="00000000" w:rsidRPr="00000000">
        <w:rPr>
          <w:rFonts w:ascii="Times New Roman" w:cs="Times New Roman" w:eastAsia="Times New Roman" w:hAnsi="Times New Roman"/>
          <w:b w:val="1"/>
          <w:bCs w:val="1"/>
          <w:i w:val="0"/>
          <w:iCs w:val="0"/>
          <w:color w:val="1f3a5f"/>
          <w:sz w:val="28"/>
          <w:szCs w:val="28"/>
          <w:rtl w:val="0"/>
        </w:rPr>
        <w:t xml:space="preserve">Evaluation Criteria</w:t>
      </w:r>
      <w:r w:rsidDel="00000000" w:rsidR="00000000" w:rsidRPr="00000000">
        <w:rPr>
          <w:rtl w:val="0"/>
        </w:rPr>
      </w:r>
    </w:p>
    <w:p w:rsidR="00000000" w:rsidDel="00000000" w:rsidP="00000000" w:rsidRDefault="00000000" w:rsidRPr="00000000" w14:paraId="0000010B">
      <w:pPr>
        <w:spacing w:after="12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f3a5f"/>
          <w:sz w:val="24"/>
          <w:szCs w:val="24"/>
          <w:rtl w:val="0"/>
        </w:rPr>
        <w:t xml:space="preserve">9.1  Primary Scoring — API Evaluation</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Reachability — POST with a valid </w:t>
      </w:r>
      <w:r w:rsidDel="00000000" w:rsidR="00000000" w:rsidRPr="00000000">
        <w:rPr>
          <w:rFonts w:ascii="Times New Roman" w:cs="Times New Roman" w:eastAsia="Times New Roman" w:hAnsi="Times New Roman"/>
          <w:rtl w:val="0"/>
        </w:rPr>
        <w:t xml:space="preserve">inputFile</w:t>
      </w: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 must succeed</w:t>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Format validation — response must match Section 7.2, including rows with missing clinical fields</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Robustness — failures on missing fields, single-row files, or out-of-range readings may reduce score</w:t>
      </w:r>
    </w:p>
    <w:p w:rsidR="00000000" w:rsidDel="00000000" w:rsidP="00000000" w:rsidRDefault="00000000" w:rsidRPr="00000000" w14:paraId="0000010F">
      <w:pPr>
        <w:spacing w:after="120"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1f3a5f"/>
          <w:sz w:val="24"/>
          <w:szCs w:val="24"/>
          <w:rtl w:val="0"/>
        </w:rPr>
        <w:t xml:space="preserve">9.2  Model File Check</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76" w:lineRule="auto"/>
        <w:ind w:left="36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i w:val="0"/>
          <w:iCs w:val="0"/>
          <w:smallCaps w:val="0"/>
          <w:strike w:val="0"/>
          <w:color w:val="222222"/>
          <w:sz w:val="22"/>
          <w:szCs w:val="22"/>
          <w:u w:val="none"/>
          <w:shd w:fill="auto" w:val="clear"/>
          <w:vertAlign w:val="baseline"/>
          <w:rtl w:val="0"/>
        </w:rPr>
        <w:t xml:space="preserve">Load the submitted model.pkl and confirm it opens successfully</w:t>
      </w:r>
    </w:p>
    <w:p w:rsidR="00000000" w:rsidDel="00000000" w:rsidP="00000000" w:rsidRDefault="00000000" w:rsidRPr="00000000" w14:paraId="00000111">
      <w:pPr>
        <w:spacing w:after="160" w:before="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0"/>
          <w:iCs w:val="0"/>
          <w:color w:val="0e7c7b"/>
          <w:sz w:val="20"/>
          <w:szCs w:val="20"/>
          <w:rtl w:val="0"/>
        </w:rPr>
        <w:t xml:space="preserve">NOTE:  </w:t>
      </w:r>
      <w:r w:rsidDel="00000000" w:rsidR="00000000" w:rsidRPr="00000000">
        <w:rPr>
          <w:rFonts w:ascii="Times New Roman" w:cs="Times New Roman" w:eastAsia="Times New Roman" w:hAnsi="Times New Roman"/>
          <w:i w:val="0"/>
          <w:iCs w:val="0"/>
          <w:color w:val="222222"/>
          <w:sz w:val="21"/>
          <w:szCs w:val="21"/>
          <w:rtl w:val="0"/>
        </w:rPr>
        <w:t xml:space="preserve">Official leaderboard metrics are computed from the API evaluation. The .pkl is used only for basic model-file testing.</w:t>
      </w:r>
      <w:r w:rsidDel="00000000" w:rsidR="00000000" w:rsidRPr="00000000">
        <w:rPr>
          <w:rtl w:val="0"/>
        </w:rPr>
      </w:r>
    </w:p>
    <w:sectPr>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nsola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22222"/>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Scw+qlXxL9CWXhlP7Yp9QsaAYQ==">CgMxLjA4AHIhMV91NXkxZTNYNTFSYmNjTU5zMkFHX3FmUU5IRl9SejVF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