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85FE3" w14:textId="77777777" w:rsidR="00517014" w:rsidRPr="00517014" w:rsidRDefault="00517014" w:rsidP="00517014">
      <w:pPr>
        <w:jc w:val="center"/>
        <w:rPr>
          <w:rFonts w:ascii="Times New Roman" w:hAnsi="Times New Roman" w:cs="Times New Roman"/>
        </w:rPr>
      </w:pPr>
      <w:r w:rsidRPr="00517014">
        <w:rPr>
          <w:rFonts w:ascii="Times New Roman" w:hAnsi="Times New Roman" w:cs="Times New Roman"/>
          <w:b/>
          <w:bCs/>
        </w:rPr>
        <w:t>Title: Large Language Model Enhanced Text-to-SQL Generation: A Survey</w:t>
      </w:r>
    </w:p>
    <w:p w14:paraId="46B349DA" w14:textId="77777777" w:rsidR="00517014" w:rsidRPr="00517014" w:rsidRDefault="00517014" w:rsidP="00517014">
      <w:pPr>
        <w:jc w:val="both"/>
        <w:rPr>
          <w:rFonts w:ascii="Times New Roman" w:hAnsi="Times New Roman" w:cs="Times New Roman"/>
        </w:rPr>
      </w:pPr>
      <w:r w:rsidRPr="00517014">
        <w:rPr>
          <w:rFonts w:ascii="Times New Roman" w:hAnsi="Times New Roman" w:cs="Times New Roman"/>
          <w:b/>
          <w:bCs/>
        </w:rPr>
        <w:t>Abstract</w:t>
      </w:r>
    </w:p>
    <w:p w14:paraId="6725077C" w14:textId="77777777" w:rsidR="00517014" w:rsidRPr="00517014" w:rsidRDefault="00517014" w:rsidP="00517014">
      <w:pPr>
        <w:jc w:val="both"/>
        <w:rPr>
          <w:rFonts w:ascii="Times New Roman" w:hAnsi="Times New Roman" w:cs="Times New Roman"/>
        </w:rPr>
      </w:pPr>
      <w:r w:rsidRPr="00517014">
        <w:rPr>
          <w:rFonts w:ascii="Times New Roman" w:hAnsi="Times New Roman" w:cs="Times New Roman"/>
        </w:rPr>
        <w:t>The paper "Large Language Model Enhanced Text-to-SQL Generation: A Survey" provides a comprehensive overview of recent advancements in enhancing Text-to-SQL systems using large language models (LLMs). The survey explores methodologies that harness the power of LLMs, such as prompt engineering, fine-tuning, and hybrid approaches, to improve semantic parsing and translation from natural language to SQL queries. Additionally, the paper evaluates the effectiveness of these methods using state-of-the-art benchmarks, identifies major challenges faced by current systems, and offers future research directions for optimizing Text-to-SQL conversion.</w:t>
      </w:r>
    </w:p>
    <w:p w14:paraId="129D1157" w14:textId="77777777" w:rsidR="00517014" w:rsidRPr="00517014" w:rsidRDefault="00517014" w:rsidP="00517014">
      <w:pPr>
        <w:jc w:val="both"/>
        <w:rPr>
          <w:rFonts w:ascii="Times New Roman" w:hAnsi="Times New Roman" w:cs="Times New Roman"/>
        </w:rPr>
      </w:pPr>
      <w:r w:rsidRPr="00517014">
        <w:rPr>
          <w:rFonts w:ascii="Times New Roman" w:hAnsi="Times New Roman" w:cs="Times New Roman"/>
          <w:b/>
          <w:bCs/>
        </w:rPr>
        <w:t>Methodologies Used in Text-to-SQL Conversion</w:t>
      </w:r>
    </w:p>
    <w:p w14:paraId="2EAF02A9" w14:textId="77777777" w:rsidR="00517014" w:rsidRPr="00517014" w:rsidRDefault="00517014" w:rsidP="00517014">
      <w:pPr>
        <w:numPr>
          <w:ilvl w:val="0"/>
          <w:numId w:val="1"/>
        </w:numPr>
        <w:tabs>
          <w:tab w:val="clear" w:pos="720"/>
        </w:tabs>
        <w:ind w:left="810" w:hanging="720"/>
        <w:jc w:val="both"/>
        <w:rPr>
          <w:rFonts w:ascii="Times New Roman" w:hAnsi="Times New Roman" w:cs="Times New Roman"/>
        </w:rPr>
      </w:pPr>
      <w:r w:rsidRPr="00517014">
        <w:rPr>
          <w:rFonts w:ascii="Times New Roman" w:hAnsi="Times New Roman" w:cs="Times New Roman"/>
          <w:b/>
          <w:bCs/>
        </w:rPr>
        <w:t>Prompt Engineering</w:t>
      </w:r>
    </w:p>
    <w:p w14:paraId="0B05CEE3" w14:textId="77777777" w:rsidR="00517014" w:rsidRPr="00517014" w:rsidRDefault="00517014" w:rsidP="00517014">
      <w:pPr>
        <w:ind w:left="810"/>
        <w:jc w:val="both"/>
        <w:rPr>
          <w:rFonts w:ascii="Times New Roman" w:hAnsi="Times New Roman" w:cs="Times New Roman"/>
        </w:rPr>
      </w:pPr>
      <w:r w:rsidRPr="00517014">
        <w:rPr>
          <w:rFonts w:ascii="Times New Roman" w:hAnsi="Times New Roman" w:cs="Times New Roman"/>
          <w:b/>
          <w:bCs/>
          <w:i/>
          <w:iCs/>
        </w:rPr>
        <w:t>Definition</w:t>
      </w:r>
      <w:r w:rsidRPr="00517014">
        <w:rPr>
          <w:rFonts w:ascii="Times New Roman" w:hAnsi="Times New Roman" w:cs="Times New Roman"/>
          <w:b/>
          <w:bCs/>
        </w:rPr>
        <w:t>:</w:t>
      </w:r>
      <w:r w:rsidRPr="00517014">
        <w:rPr>
          <w:rFonts w:ascii="Times New Roman" w:hAnsi="Times New Roman" w:cs="Times New Roman"/>
        </w:rPr>
        <w:t xml:space="preserve"> Prompt engineering is the process of carefully crafting input prompts to elicit desired behavior from language models. In Text-to-SQL tasks, prompt engineering involves designing prompts that effectively instruct an LLM to generate accurate SQL queries from natural language input.</w:t>
      </w:r>
    </w:p>
    <w:p w14:paraId="78DE847F" w14:textId="77777777" w:rsidR="00517014" w:rsidRPr="00517014" w:rsidRDefault="00517014" w:rsidP="00517014">
      <w:pPr>
        <w:ind w:left="810"/>
        <w:jc w:val="both"/>
        <w:rPr>
          <w:rFonts w:ascii="Times New Roman" w:hAnsi="Times New Roman" w:cs="Times New Roman"/>
        </w:rPr>
      </w:pPr>
      <w:r w:rsidRPr="00517014">
        <w:rPr>
          <w:rFonts w:ascii="Times New Roman" w:hAnsi="Times New Roman" w:cs="Times New Roman"/>
          <w:b/>
          <w:bCs/>
          <w:i/>
          <w:iCs/>
        </w:rPr>
        <w:t>Applications</w:t>
      </w:r>
      <w:r w:rsidRPr="00517014">
        <w:rPr>
          <w:rFonts w:ascii="Times New Roman" w:hAnsi="Times New Roman" w:cs="Times New Roman"/>
          <w:b/>
          <w:bCs/>
        </w:rPr>
        <w:t>:</w:t>
      </w:r>
      <w:r w:rsidRPr="00517014">
        <w:rPr>
          <w:rFonts w:ascii="Times New Roman" w:hAnsi="Times New Roman" w:cs="Times New Roman"/>
        </w:rPr>
        <w:t xml:space="preserve"> Different prompt templates are designed to guide the LLM in interpreting user queries, understanding the schema, and generating SQL code. This method is particularly useful for zero-shot or few-shot learning scenarios where the model is not specifically trained on a particular dataset.</w:t>
      </w:r>
    </w:p>
    <w:p w14:paraId="0B8DF885" w14:textId="77777777" w:rsidR="00517014" w:rsidRPr="00517014" w:rsidRDefault="00517014" w:rsidP="00517014">
      <w:pPr>
        <w:ind w:left="810"/>
        <w:jc w:val="both"/>
        <w:rPr>
          <w:rFonts w:ascii="Times New Roman" w:hAnsi="Times New Roman" w:cs="Times New Roman"/>
        </w:rPr>
      </w:pPr>
      <w:r w:rsidRPr="00517014">
        <w:rPr>
          <w:rFonts w:ascii="Times New Roman" w:hAnsi="Times New Roman" w:cs="Times New Roman"/>
          <w:b/>
          <w:bCs/>
          <w:i/>
          <w:iCs/>
        </w:rPr>
        <w:t>Challenges</w:t>
      </w:r>
      <w:r w:rsidRPr="00517014">
        <w:rPr>
          <w:rFonts w:ascii="Times New Roman" w:hAnsi="Times New Roman" w:cs="Times New Roman"/>
          <w:b/>
          <w:bCs/>
        </w:rPr>
        <w:t>:</w:t>
      </w:r>
      <w:r w:rsidRPr="00517014">
        <w:rPr>
          <w:rFonts w:ascii="Times New Roman" w:hAnsi="Times New Roman" w:cs="Times New Roman"/>
        </w:rPr>
        <w:t xml:space="preserve"> The survey notes that effective prompt design requires iterative experimentation, and model performance can be sensitive to slight prompt variations. There is also a challenge in generalizing prompts across diverse database schemas.</w:t>
      </w:r>
    </w:p>
    <w:p w14:paraId="6083CDDF" w14:textId="77777777" w:rsidR="00517014" w:rsidRPr="00517014" w:rsidRDefault="00517014" w:rsidP="00517014">
      <w:pPr>
        <w:numPr>
          <w:ilvl w:val="0"/>
          <w:numId w:val="1"/>
        </w:numPr>
        <w:tabs>
          <w:tab w:val="clear" w:pos="720"/>
        </w:tabs>
        <w:ind w:left="810" w:hanging="720"/>
        <w:jc w:val="both"/>
        <w:rPr>
          <w:rFonts w:ascii="Times New Roman" w:hAnsi="Times New Roman" w:cs="Times New Roman"/>
        </w:rPr>
      </w:pPr>
      <w:r w:rsidRPr="00517014">
        <w:rPr>
          <w:rFonts w:ascii="Times New Roman" w:hAnsi="Times New Roman" w:cs="Times New Roman"/>
          <w:b/>
          <w:bCs/>
        </w:rPr>
        <w:t>Fine-Tuning</w:t>
      </w:r>
    </w:p>
    <w:p w14:paraId="3B7DCFC2" w14:textId="77777777" w:rsidR="00517014" w:rsidRPr="00517014" w:rsidRDefault="00517014" w:rsidP="00517014">
      <w:pPr>
        <w:ind w:left="810"/>
        <w:jc w:val="both"/>
        <w:rPr>
          <w:rFonts w:ascii="Times New Roman" w:hAnsi="Times New Roman" w:cs="Times New Roman"/>
        </w:rPr>
      </w:pPr>
      <w:r w:rsidRPr="00517014">
        <w:rPr>
          <w:rFonts w:ascii="Times New Roman" w:hAnsi="Times New Roman" w:cs="Times New Roman"/>
          <w:b/>
          <w:bCs/>
          <w:i/>
          <w:iCs/>
        </w:rPr>
        <w:t>Definition</w:t>
      </w:r>
      <w:r w:rsidRPr="00517014">
        <w:rPr>
          <w:rFonts w:ascii="Times New Roman" w:hAnsi="Times New Roman" w:cs="Times New Roman"/>
          <w:b/>
          <w:bCs/>
        </w:rPr>
        <w:t>:</w:t>
      </w:r>
      <w:r w:rsidRPr="00517014">
        <w:rPr>
          <w:rFonts w:ascii="Times New Roman" w:hAnsi="Times New Roman" w:cs="Times New Roman"/>
        </w:rPr>
        <w:t xml:space="preserve"> Fine-tuning involves updating the weights of a pre-trained language model using domain-specific datasets to improve performance on specialized tasks like Text-to-SQL conversion.</w:t>
      </w:r>
    </w:p>
    <w:p w14:paraId="649826F5" w14:textId="77777777" w:rsidR="00517014" w:rsidRPr="00517014" w:rsidRDefault="00517014" w:rsidP="00517014">
      <w:pPr>
        <w:ind w:left="810"/>
        <w:jc w:val="both"/>
        <w:rPr>
          <w:rFonts w:ascii="Times New Roman" w:hAnsi="Times New Roman" w:cs="Times New Roman"/>
        </w:rPr>
      </w:pPr>
      <w:r w:rsidRPr="00517014">
        <w:rPr>
          <w:rFonts w:ascii="Times New Roman" w:hAnsi="Times New Roman" w:cs="Times New Roman"/>
          <w:b/>
          <w:bCs/>
          <w:i/>
          <w:iCs/>
        </w:rPr>
        <w:t>Applications</w:t>
      </w:r>
      <w:r w:rsidRPr="00517014">
        <w:rPr>
          <w:rFonts w:ascii="Times New Roman" w:hAnsi="Times New Roman" w:cs="Times New Roman"/>
          <w:b/>
          <w:bCs/>
        </w:rPr>
        <w:t>:</w:t>
      </w:r>
      <w:r w:rsidRPr="00517014">
        <w:rPr>
          <w:rFonts w:ascii="Times New Roman" w:hAnsi="Times New Roman" w:cs="Times New Roman"/>
        </w:rPr>
        <w:t xml:space="preserve"> Fine-tuning large language models on Text-to-SQL benchmark datasets (e.g., Spider, </w:t>
      </w:r>
      <w:proofErr w:type="spellStart"/>
      <w:r w:rsidRPr="00517014">
        <w:rPr>
          <w:rFonts w:ascii="Times New Roman" w:hAnsi="Times New Roman" w:cs="Times New Roman"/>
        </w:rPr>
        <w:t>WikiSQL</w:t>
      </w:r>
      <w:proofErr w:type="spellEnd"/>
      <w:r w:rsidRPr="00517014">
        <w:rPr>
          <w:rFonts w:ascii="Times New Roman" w:hAnsi="Times New Roman" w:cs="Times New Roman"/>
        </w:rPr>
        <w:t>) allows the model to better understand database schema-specific patterns and generate more accurate SQL queries.</w:t>
      </w:r>
    </w:p>
    <w:p w14:paraId="3C1B6AE8" w14:textId="77777777" w:rsidR="00517014" w:rsidRPr="00517014" w:rsidRDefault="00517014" w:rsidP="00517014">
      <w:pPr>
        <w:ind w:left="810"/>
        <w:jc w:val="both"/>
        <w:rPr>
          <w:rFonts w:ascii="Times New Roman" w:hAnsi="Times New Roman" w:cs="Times New Roman"/>
        </w:rPr>
      </w:pPr>
      <w:r w:rsidRPr="00517014">
        <w:rPr>
          <w:rFonts w:ascii="Times New Roman" w:hAnsi="Times New Roman" w:cs="Times New Roman"/>
          <w:b/>
          <w:bCs/>
          <w:i/>
          <w:iCs/>
        </w:rPr>
        <w:t>Challenges</w:t>
      </w:r>
      <w:r w:rsidRPr="00517014">
        <w:rPr>
          <w:rFonts w:ascii="Times New Roman" w:hAnsi="Times New Roman" w:cs="Times New Roman"/>
          <w:b/>
          <w:bCs/>
        </w:rPr>
        <w:t>:</w:t>
      </w:r>
      <w:r w:rsidRPr="00517014">
        <w:rPr>
          <w:rFonts w:ascii="Times New Roman" w:hAnsi="Times New Roman" w:cs="Times New Roman"/>
        </w:rPr>
        <w:t xml:space="preserve"> The computational cost of fine-tuning is significant, especially for large models. Additionally, there is the risk of overfitting to specific database schemas, which can reduce the generalizability of the model to unseen databases.</w:t>
      </w:r>
    </w:p>
    <w:p w14:paraId="02E12153" w14:textId="77777777" w:rsidR="00517014" w:rsidRPr="00517014" w:rsidRDefault="00517014" w:rsidP="00517014">
      <w:pPr>
        <w:numPr>
          <w:ilvl w:val="0"/>
          <w:numId w:val="1"/>
        </w:numPr>
        <w:tabs>
          <w:tab w:val="clear" w:pos="720"/>
        </w:tabs>
        <w:ind w:left="810" w:hanging="720"/>
        <w:jc w:val="both"/>
        <w:rPr>
          <w:rFonts w:ascii="Times New Roman" w:hAnsi="Times New Roman" w:cs="Times New Roman"/>
        </w:rPr>
      </w:pPr>
      <w:r w:rsidRPr="00517014">
        <w:rPr>
          <w:rFonts w:ascii="Times New Roman" w:hAnsi="Times New Roman" w:cs="Times New Roman"/>
          <w:b/>
          <w:bCs/>
        </w:rPr>
        <w:t>Hybrid Approaches</w:t>
      </w:r>
    </w:p>
    <w:p w14:paraId="11C814DE" w14:textId="77777777" w:rsidR="00517014" w:rsidRPr="00517014" w:rsidRDefault="00517014" w:rsidP="00517014">
      <w:pPr>
        <w:ind w:left="810"/>
        <w:jc w:val="both"/>
        <w:rPr>
          <w:rFonts w:ascii="Times New Roman" w:hAnsi="Times New Roman" w:cs="Times New Roman"/>
        </w:rPr>
      </w:pPr>
      <w:r w:rsidRPr="00517014">
        <w:rPr>
          <w:rFonts w:ascii="Times New Roman" w:hAnsi="Times New Roman" w:cs="Times New Roman"/>
          <w:b/>
          <w:bCs/>
          <w:i/>
          <w:iCs/>
        </w:rPr>
        <w:lastRenderedPageBreak/>
        <w:t>Combining LLMs with Traditional Methods</w:t>
      </w:r>
      <w:r w:rsidRPr="00517014">
        <w:rPr>
          <w:rFonts w:ascii="Times New Roman" w:hAnsi="Times New Roman" w:cs="Times New Roman"/>
          <w:b/>
          <w:bCs/>
        </w:rPr>
        <w:t>:</w:t>
      </w:r>
      <w:r w:rsidRPr="00517014">
        <w:rPr>
          <w:rFonts w:ascii="Times New Roman" w:hAnsi="Times New Roman" w:cs="Times New Roman"/>
        </w:rPr>
        <w:t xml:space="preserve"> The survey highlights hybrid approaches where LLMs are combined with rule-based systems or other specialized modules to improve the robustness and accuracy of SQL generation. These approaches can leverage the strengths of both machine learning and traditional rule-based techniques, ensuring better schema alignment and logical consistency.</w:t>
      </w:r>
    </w:p>
    <w:p w14:paraId="43D54677" w14:textId="77777777" w:rsidR="00517014" w:rsidRPr="00517014" w:rsidRDefault="00517014" w:rsidP="00517014">
      <w:pPr>
        <w:numPr>
          <w:ilvl w:val="0"/>
          <w:numId w:val="1"/>
        </w:numPr>
        <w:tabs>
          <w:tab w:val="clear" w:pos="720"/>
        </w:tabs>
        <w:ind w:left="810" w:hanging="720"/>
        <w:jc w:val="both"/>
        <w:rPr>
          <w:rFonts w:ascii="Times New Roman" w:hAnsi="Times New Roman" w:cs="Times New Roman"/>
        </w:rPr>
      </w:pPr>
      <w:r w:rsidRPr="00517014">
        <w:rPr>
          <w:rFonts w:ascii="Times New Roman" w:hAnsi="Times New Roman" w:cs="Times New Roman"/>
          <w:b/>
          <w:bCs/>
        </w:rPr>
        <w:t>Schema Representation and Linking</w:t>
      </w:r>
    </w:p>
    <w:p w14:paraId="67FD2E73" w14:textId="77777777" w:rsidR="00517014" w:rsidRPr="00517014" w:rsidRDefault="00517014" w:rsidP="00517014">
      <w:pPr>
        <w:ind w:left="810"/>
        <w:jc w:val="both"/>
        <w:rPr>
          <w:rFonts w:ascii="Times New Roman" w:hAnsi="Times New Roman" w:cs="Times New Roman"/>
        </w:rPr>
      </w:pPr>
      <w:r w:rsidRPr="00517014">
        <w:rPr>
          <w:rFonts w:ascii="Times New Roman" w:hAnsi="Times New Roman" w:cs="Times New Roman"/>
        </w:rPr>
        <w:t>Understanding the database schema is crucial in Text-to-SQL tasks. Large language models are enhanced using schema embedding techniques, which help the model recognize relationships between tables, columns, and their respective data types. Techniques like entity linking and schema graph generation are commonly employed to improve the understanding of schema elements.</w:t>
      </w:r>
    </w:p>
    <w:p w14:paraId="76EBEF34" w14:textId="77777777" w:rsidR="00517014" w:rsidRPr="00517014" w:rsidRDefault="00517014" w:rsidP="00517014">
      <w:pPr>
        <w:numPr>
          <w:ilvl w:val="0"/>
          <w:numId w:val="1"/>
        </w:numPr>
        <w:tabs>
          <w:tab w:val="clear" w:pos="720"/>
        </w:tabs>
        <w:ind w:left="810" w:hanging="720"/>
        <w:jc w:val="both"/>
        <w:rPr>
          <w:rFonts w:ascii="Times New Roman" w:hAnsi="Times New Roman" w:cs="Times New Roman"/>
        </w:rPr>
      </w:pPr>
      <w:r w:rsidRPr="00517014">
        <w:rPr>
          <w:rFonts w:ascii="Times New Roman" w:hAnsi="Times New Roman" w:cs="Times New Roman"/>
          <w:b/>
          <w:bCs/>
        </w:rPr>
        <w:t>Evaluation Metrics</w:t>
      </w:r>
    </w:p>
    <w:p w14:paraId="5444A0A4" w14:textId="77777777" w:rsidR="00517014" w:rsidRPr="00517014" w:rsidRDefault="00517014" w:rsidP="00517014">
      <w:pPr>
        <w:numPr>
          <w:ilvl w:val="1"/>
          <w:numId w:val="1"/>
        </w:numPr>
        <w:tabs>
          <w:tab w:val="num" w:pos="1440"/>
        </w:tabs>
        <w:ind w:left="810"/>
        <w:jc w:val="both"/>
        <w:rPr>
          <w:rFonts w:ascii="Times New Roman" w:hAnsi="Times New Roman" w:cs="Times New Roman"/>
        </w:rPr>
      </w:pPr>
      <w:r w:rsidRPr="00517014">
        <w:rPr>
          <w:rFonts w:ascii="Times New Roman" w:hAnsi="Times New Roman" w:cs="Times New Roman"/>
        </w:rPr>
        <w:t>The effectiveness of Text-to-SQL conversion is evaluated using both syntactic and semantic metrics.</w:t>
      </w:r>
    </w:p>
    <w:p w14:paraId="67D38C11" w14:textId="77777777" w:rsidR="00517014" w:rsidRPr="00517014" w:rsidRDefault="00517014" w:rsidP="00517014">
      <w:pPr>
        <w:numPr>
          <w:ilvl w:val="2"/>
          <w:numId w:val="1"/>
        </w:numPr>
        <w:ind w:left="810"/>
        <w:jc w:val="both"/>
        <w:rPr>
          <w:rFonts w:ascii="Times New Roman" w:hAnsi="Times New Roman" w:cs="Times New Roman"/>
        </w:rPr>
      </w:pPr>
      <w:r w:rsidRPr="00517014">
        <w:rPr>
          <w:rFonts w:ascii="Times New Roman" w:hAnsi="Times New Roman" w:cs="Times New Roman"/>
          <w:b/>
          <w:bCs/>
          <w:i/>
          <w:iCs/>
        </w:rPr>
        <w:t>Exact Match Accuracy (EMA)</w:t>
      </w:r>
      <w:r w:rsidRPr="00517014">
        <w:rPr>
          <w:rFonts w:ascii="Times New Roman" w:hAnsi="Times New Roman" w:cs="Times New Roman"/>
          <w:b/>
          <w:bCs/>
        </w:rPr>
        <w:t>:</w:t>
      </w:r>
      <w:r w:rsidRPr="00517014">
        <w:rPr>
          <w:rFonts w:ascii="Times New Roman" w:hAnsi="Times New Roman" w:cs="Times New Roman"/>
        </w:rPr>
        <w:t xml:space="preserve"> Measures whether the generated SQL query exactly matches the reference query.</w:t>
      </w:r>
    </w:p>
    <w:p w14:paraId="39B155DF" w14:textId="77777777" w:rsidR="00517014" w:rsidRPr="00517014" w:rsidRDefault="00517014" w:rsidP="00517014">
      <w:pPr>
        <w:numPr>
          <w:ilvl w:val="2"/>
          <w:numId w:val="1"/>
        </w:numPr>
        <w:ind w:left="810"/>
        <w:jc w:val="both"/>
        <w:rPr>
          <w:rFonts w:ascii="Times New Roman" w:hAnsi="Times New Roman" w:cs="Times New Roman"/>
        </w:rPr>
      </w:pPr>
      <w:r w:rsidRPr="00517014">
        <w:rPr>
          <w:rFonts w:ascii="Times New Roman" w:hAnsi="Times New Roman" w:cs="Times New Roman"/>
          <w:b/>
          <w:bCs/>
          <w:i/>
          <w:iCs/>
        </w:rPr>
        <w:t>Execution Accuracy</w:t>
      </w:r>
      <w:r w:rsidRPr="00517014">
        <w:rPr>
          <w:rFonts w:ascii="Times New Roman" w:hAnsi="Times New Roman" w:cs="Times New Roman"/>
          <w:b/>
          <w:bCs/>
        </w:rPr>
        <w:t>:</w:t>
      </w:r>
      <w:r w:rsidRPr="00517014">
        <w:rPr>
          <w:rFonts w:ascii="Times New Roman" w:hAnsi="Times New Roman" w:cs="Times New Roman"/>
        </w:rPr>
        <w:t xml:space="preserve"> Evaluates whether the generated query returns the same result as the reference query when executed on the database.</w:t>
      </w:r>
    </w:p>
    <w:p w14:paraId="633822DA" w14:textId="77777777" w:rsidR="00517014" w:rsidRPr="00517014" w:rsidRDefault="00517014" w:rsidP="00517014">
      <w:pPr>
        <w:numPr>
          <w:ilvl w:val="2"/>
          <w:numId w:val="1"/>
        </w:numPr>
        <w:ind w:left="810"/>
        <w:jc w:val="both"/>
        <w:rPr>
          <w:rFonts w:ascii="Times New Roman" w:hAnsi="Times New Roman" w:cs="Times New Roman"/>
        </w:rPr>
      </w:pPr>
      <w:r w:rsidRPr="00517014">
        <w:rPr>
          <w:rFonts w:ascii="Times New Roman" w:hAnsi="Times New Roman" w:cs="Times New Roman"/>
          <w:b/>
          <w:bCs/>
          <w:i/>
          <w:iCs/>
        </w:rPr>
        <w:t>BLEU Score</w:t>
      </w:r>
      <w:r w:rsidRPr="00517014">
        <w:rPr>
          <w:rFonts w:ascii="Times New Roman" w:hAnsi="Times New Roman" w:cs="Times New Roman"/>
          <w:b/>
          <w:bCs/>
        </w:rPr>
        <w:t>:</w:t>
      </w:r>
      <w:r w:rsidRPr="00517014">
        <w:rPr>
          <w:rFonts w:ascii="Times New Roman" w:hAnsi="Times New Roman" w:cs="Times New Roman"/>
        </w:rPr>
        <w:t xml:space="preserve"> Measures the similarity between the generated and reference queries by comparing n-grams. This metric is used to provide a granular view of how closely the language model's output matches the expected SQL query.</w:t>
      </w:r>
    </w:p>
    <w:p w14:paraId="7B9DF309" w14:textId="77777777" w:rsidR="00517014" w:rsidRPr="00517014" w:rsidRDefault="00517014" w:rsidP="00517014">
      <w:pPr>
        <w:numPr>
          <w:ilvl w:val="1"/>
          <w:numId w:val="1"/>
        </w:numPr>
        <w:tabs>
          <w:tab w:val="num" w:pos="1440"/>
        </w:tabs>
        <w:ind w:left="810"/>
        <w:jc w:val="both"/>
        <w:rPr>
          <w:rFonts w:ascii="Times New Roman" w:hAnsi="Times New Roman" w:cs="Times New Roman"/>
        </w:rPr>
      </w:pPr>
      <w:r w:rsidRPr="00517014">
        <w:rPr>
          <w:rFonts w:ascii="Times New Roman" w:hAnsi="Times New Roman" w:cs="Times New Roman"/>
        </w:rPr>
        <w:t>The survey also discusses the limitations of each metric, such as the inability of EMA to capture semantically equivalent queries that are syntactically different.</w:t>
      </w:r>
    </w:p>
    <w:p w14:paraId="7581AB69" w14:textId="77777777" w:rsidR="00517014" w:rsidRPr="00517014" w:rsidRDefault="00517014" w:rsidP="00517014">
      <w:pPr>
        <w:jc w:val="both"/>
        <w:rPr>
          <w:rFonts w:ascii="Times New Roman" w:hAnsi="Times New Roman" w:cs="Times New Roman"/>
        </w:rPr>
      </w:pPr>
      <w:r w:rsidRPr="00517014">
        <w:rPr>
          <w:rFonts w:ascii="Times New Roman" w:hAnsi="Times New Roman" w:cs="Times New Roman"/>
          <w:b/>
          <w:bCs/>
        </w:rPr>
        <w:t>Conclusion</w:t>
      </w:r>
    </w:p>
    <w:p w14:paraId="39BE8537" w14:textId="5D096D50" w:rsidR="00517014" w:rsidRPr="00517014" w:rsidRDefault="00517014" w:rsidP="00517014">
      <w:pPr>
        <w:jc w:val="both"/>
        <w:rPr>
          <w:rFonts w:ascii="Times New Roman" w:hAnsi="Times New Roman" w:cs="Times New Roman"/>
        </w:rPr>
      </w:pPr>
      <w:r w:rsidRPr="00517014">
        <w:rPr>
          <w:rFonts w:ascii="Times New Roman" w:hAnsi="Times New Roman" w:cs="Times New Roman"/>
        </w:rPr>
        <w:t>The survey concludes that while large language models have significantly enhanced Text-to-SQL generation, challenges remain, especially in terms of schema generalization, efficiency, and model interpretability. Prompt engineering and fine-tuning have proven effective, but hybrid approaches appear to be the most promising for future development due to their ability to balance flexibility and accuracy. The survey emphasizes the importance of further research on improving schema representation, reducing fine-tuning costs, and developing evaluation metrics that better capture semantic equivalence. Ultimately, advances in these areas will enhance the usability and scalability of Text-to-SQL systems, bringing us closer to natural language querying for databases in real-world applications.</w:t>
      </w:r>
    </w:p>
    <w:p w14:paraId="053EA6DD" w14:textId="77777777" w:rsidR="00517014" w:rsidRPr="00517014" w:rsidRDefault="00517014">
      <w:pPr>
        <w:rPr>
          <w:rFonts w:ascii="Times New Roman" w:hAnsi="Times New Roman" w:cs="Times New Roman"/>
        </w:rPr>
      </w:pPr>
    </w:p>
    <w:sectPr w:rsidR="00517014" w:rsidRPr="00517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6E7C54"/>
    <w:multiLevelType w:val="multilevel"/>
    <w:tmpl w:val="6228F0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3268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14"/>
    <w:rsid w:val="00517014"/>
    <w:rsid w:val="00D22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5B80"/>
  <w15:chartTrackingRefBased/>
  <w15:docId w15:val="{4BD5B54B-8CEC-4185-996E-5875B43C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0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14"/>
    <w:rPr>
      <w:rFonts w:eastAsiaTheme="majorEastAsia" w:cstheme="majorBidi"/>
      <w:color w:val="272727" w:themeColor="text1" w:themeTint="D8"/>
    </w:rPr>
  </w:style>
  <w:style w:type="paragraph" w:styleId="Title">
    <w:name w:val="Title"/>
    <w:basedOn w:val="Normal"/>
    <w:next w:val="Normal"/>
    <w:link w:val="TitleChar"/>
    <w:uiPriority w:val="10"/>
    <w:qFormat/>
    <w:rsid w:val="00517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14"/>
    <w:pPr>
      <w:spacing w:before="160"/>
      <w:jc w:val="center"/>
    </w:pPr>
    <w:rPr>
      <w:i/>
      <w:iCs/>
      <w:color w:val="404040" w:themeColor="text1" w:themeTint="BF"/>
    </w:rPr>
  </w:style>
  <w:style w:type="character" w:customStyle="1" w:styleId="QuoteChar">
    <w:name w:val="Quote Char"/>
    <w:basedOn w:val="DefaultParagraphFont"/>
    <w:link w:val="Quote"/>
    <w:uiPriority w:val="29"/>
    <w:rsid w:val="00517014"/>
    <w:rPr>
      <w:i/>
      <w:iCs/>
      <w:color w:val="404040" w:themeColor="text1" w:themeTint="BF"/>
    </w:rPr>
  </w:style>
  <w:style w:type="paragraph" w:styleId="ListParagraph">
    <w:name w:val="List Paragraph"/>
    <w:basedOn w:val="Normal"/>
    <w:uiPriority w:val="34"/>
    <w:qFormat/>
    <w:rsid w:val="00517014"/>
    <w:pPr>
      <w:ind w:left="720"/>
      <w:contextualSpacing/>
    </w:pPr>
  </w:style>
  <w:style w:type="character" w:styleId="IntenseEmphasis">
    <w:name w:val="Intense Emphasis"/>
    <w:basedOn w:val="DefaultParagraphFont"/>
    <w:uiPriority w:val="21"/>
    <w:qFormat/>
    <w:rsid w:val="00517014"/>
    <w:rPr>
      <w:i/>
      <w:iCs/>
      <w:color w:val="0F4761" w:themeColor="accent1" w:themeShade="BF"/>
    </w:rPr>
  </w:style>
  <w:style w:type="paragraph" w:styleId="IntenseQuote">
    <w:name w:val="Intense Quote"/>
    <w:basedOn w:val="Normal"/>
    <w:next w:val="Normal"/>
    <w:link w:val="IntenseQuoteChar"/>
    <w:uiPriority w:val="30"/>
    <w:qFormat/>
    <w:rsid w:val="00517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14"/>
    <w:rPr>
      <w:i/>
      <w:iCs/>
      <w:color w:val="0F4761" w:themeColor="accent1" w:themeShade="BF"/>
    </w:rPr>
  </w:style>
  <w:style w:type="character" w:styleId="IntenseReference">
    <w:name w:val="Intense Reference"/>
    <w:basedOn w:val="DefaultParagraphFont"/>
    <w:uiPriority w:val="32"/>
    <w:qFormat/>
    <w:rsid w:val="00517014"/>
    <w:rPr>
      <w:b/>
      <w:bCs/>
      <w:smallCaps/>
      <w:color w:val="0F4761" w:themeColor="accent1" w:themeShade="BF"/>
      <w:spacing w:val="5"/>
    </w:rPr>
  </w:style>
  <w:style w:type="character" w:styleId="Hyperlink">
    <w:name w:val="Hyperlink"/>
    <w:basedOn w:val="DefaultParagraphFont"/>
    <w:uiPriority w:val="99"/>
    <w:unhideWhenUsed/>
    <w:rsid w:val="00517014"/>
    <w:rPr>
      <w:color w:val="467886" w:themeColor="hyperlink"/>
      <w:u w:val="single"/>
    </w:rPr>
  </w:style>
  <w:style w:type="character" w:styleId="UnresolvedMention">
    <w:name w:val="Unresolved Mention"/>
    <w:basedOn w:val="DefaultParagraphFont"/>
    <w:uiPriority w:val="99"/>
    <w:semiHidden/>
    <w:unhideWhenUsed/>
    <w:rsid w:val="00517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090292">
      <w:bodyDiv w:val="1"/>
      <w:marLeft w:val="0"/>
      <w:marRight w:val="0"/>
      <w:marTop w:val="0"/>
      <w:marBottom w:val="0"/>
      <w:divBdr>
        <w:top w:val="none" w:sz="0" w:space="0" w:color="auto"/>
        <w:left w:val="none" w:sz="0" w:space="0" w:color="auto"/>
        <w:bottom w:val="none" w:sz="0" w:space="0" w:color="auto"/>
        <w:right w:val="none" w:sz="0" w:space="0" w:color="auto"/>
      </w:divBdr>
    </w:div>
    <w:div w:id="187357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Yagna praseeda Atmuri</dc:creator>
  <cp:keywords/>
  <dc:description/>
  <cp:lastModifiedBy>Yagna praseeda Atmuri</cp:lastModifiedBy>
  <cp:revision>1</cp:revision>
  <dcterms:created xsi:type="dcterms:W3CDTF">2024-11-04T07:00:00Z</dcterms:created>
  <dcterms:modified xsi:type="dcterms:W3CDTF">2024-11-04T07:08:00Z</dcterms:modified>
</cp:coreProperties>
</file>