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Product Requirements Document</w:t>
      </w:r>
    </w:p>
    <w:p>
      <w:pPr>
        <w:pBdr>
          <w:bottom w:val="single" w:color="CBD5E1" w:sz="6" w:space="8"/>
        </w:pBdr>
        <w:spacing w:after="200"/>
      </w:pPr>
      <w:r>
        <w:rPr>
          <w:color w:val="64748B"/>
          <w:sz w:val="28"/>
          <w:szCs w:val="28"/>
        </w:rPr>
        <w:t xml:space="preserve">Inventory Management System — Multi-Tenant SaaS</w:t>
      </w:r>
    </w:p>
    <w:p>
      <w:pPr>
        <w:spacing w:after="120"/>
      </w:pPr>
      <w:r>
        <w:rPr>
          <w:color w:val="64748B"/>
          <w:sz w:val="22"/>
          <w:szCs w:val="22"/>
        </w:rPr>
        <w:t xml:space="preserve">Author: Dhruv Rao        Version: 1.0        Date: 10 July 2026        Status: Core product complete</w:t>
      </w:r>
    </w:p>
    <w:p>
      <w:pPr>
        <w:spacing w:after="120"/>
      </w:pPr>
    </w:p>
    <w:p>
      <w:pPr>
        <w:pStyle w:val="Heading1"/>
        <w:spacing w:after="120" w:before="280"/>
      </w:pPr>
      <w: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document describes a web-based inventory management system built as a commercial multi-tenant product: developed once and sold to multiple customer businesses. Each customer (a "company") operates in a fully isolated workspace with its own users, locations, products, and stock records. The system provides real-time stock visibility with a complete, tamper-proof audit trail of every stock movement.</w:t>
      </w:r>
    </w:p>
    <w:p>
      <w:pPr>
        <w:pStyle w:val="Heading1"/>
        <w:spacing w:after="120" w:before="280"/>
      </w:pPr>
      <w: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Small and mid-sized businesses commonly track stock in spreadsheets or on paper. This leads to stockouts (lost sales), overstocking (locked-up capital), untraceable discrepancies between recorded and physical stock, and no accountability for who changed what. Existing solutions are either too expensive or not adaptable to different business types.</w:t>
      </w:r>
    </w:p>
    <w:p>
      <w:pPr>
        <w:pStyle w:val="Heading1"/>
        <w:spacing w:after="120" w:before="280"/>
      </w:pPr>
      <w:r>
        <w:t xml:space="preserve">3. Goals and Non-Goals</w:t>
      </w:r>
    </w:p>
    <w:p>
      <w:pPr>
        <w:pStyle w:val="Heading2"/>
        <w:spacing w:after="100" w:before="20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Multi-tenancy — </w:t>
      </w:r>
      <w:r>
        <w:rPr>
          <w:sz w:val="22"/>
          <w:szCs w:val="22"/>
        </w:rPr>
        <w:t xml:space="preserve">One codebase serving many customer businesses with strict data isolation.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Auditability — </w:t>
      </w:r>
      <w:r>
        <w:rPr>
          <w:sz w:val="22"/>
          <w:szCs w:val="22"/>
        </w:rPr>
        <w:t xml:space="preserve">Every stock change is recorded permanently with author and timestamp; current stock is always derived from the movement ledger, never stored as an editable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Role-based access — </w:t>
      </w:r>
      <w:r>
        <w:rPr>
          <w:sz w:val="22"/>
          <w:szCs w:val="22"/>
        </w:rPr>
        <w:t xml:space="preserve">Admin, Manager, and Staff roles with enforced permissions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Configurability — </w:t>
      </w:r>
      <w:r>
        <w:rPr>
          <w:sz w:val="22"/>
          <w:szCs w:val="22"/>
        </w:rPr>
        <w:t xml:space="preserve">Categories, units, locations, and currency are per-company settings, not hard-coded.</w:t>
      </w:r>
    </w:p>
    <w:p>
      <w:pPr>
        <w:pStyle w:val="Heading2"/>
        <w:spacing w:after="100" w:before="200"/>
      </w:pPr>
      <w:r>
        <w:t xml:space="preserve">Non-Goals (current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Accounting/invoicing, supplier purchase orders, barcode hardware integration, and batch/expiry tracking are planned for future versions (see Roadmap).</w:t>
      </w:r>
    </w:p>
    <w:p>
      <w:pPr>
        <w:pStyle w:val="Heading1"/>
        <w:spacing w:after="120" w:before="280"/>
      </w:pPr>
      <w:r>
        <w:t xml:space="preserve">4. Target Users and Roles</w:t>
      </w:r>
    </w:p>
    <w:p>
      <w:pPr>
        <w:spacing w:after="120"/>
      </w:pPr>
      <w:r>
        <w:rPr>
          <w:sz w:val="22"/>
          <w:szCs w:val="22"/>
        </w:rPr>
        <w:t xml:space="preserve">Primary customers are retail shops, distributors, and small warehouses. Within each company: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Typical user</w:t>
            </w:r>
          </w:p>
        </w:tc>
        <w:tc>
          <w:tcPr>
            <w:tcW w:type="dxa" w:w="3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/ founder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Everything: company settings, team management, all data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Products, categories, locations, stock operations, reports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Counter / warehouse staff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stock movements, view products and reports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5. Features (Implemented)</w:t>
      </w:r>
    </w:p>
    <w:p>
      <w:pPr>
        <w:pStyle w:val="Heading2"/>
        <w:spacing w:after="100" w:before="200"/>
      </w:pPr>
      <w:r>
        <w:t xml:space="preserve">5.1 Authentication and Tenancy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Company self-registration creates the company, its first admin, and a default location in one atomic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authentication with short-lived access tokens (15 min) silently renewed via 30-day refresh tokens; deactivated accounts lose access within minutes.</w:t>
      </w:r>
    </w:p>
    <w:p>
      <w:pPr>
        <w:pStyle w:val="Heading2"/>
        <w:spacing w:after="100" w:before="200"/>
      </w:pPr>
      <w:r>
        <w:t xml:space="preserve">5.2 Product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CRUD with per-company unique SKUs, cost/selling prices (exact decimal storage), units, and configurable low-stock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Soft delete: products with stock history are retired, never destroyed, preserving the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Categories with product counts, filtering, and safe deletion (products revert to uncategorized).</w:t>
      </w:r>
    </w:p>
    <w:p>
      <w:pPr>
        <w:pStyle w:val="Heading2"/>
        <w:spacing w:after="100" w:before="200"/>
      </w:pPr>
      <w:r>
        <w:t xml:space="preserve">5.3 Stock Ledger (core)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change is an immutable movement record: purchases, sales, customer/supplier returns, adjustments, and transfers. No update or delete exists on this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server derives movement direction from the type; clients can never push signed quantities.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Oversell protection: outgoing movements are validated against current stock inside a database transaction, safe under concurrent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Transfers create balanced paired entries (out + in) linked by a transfer ID, created atomically.</w:t>
      </w:r>
    </w:p>
    <w:p>
      <w:pPr>
        <w:pStyle w:val="Heading2"/>
        <w:spacing w:after="100" w:before="200"/>
      </w:pPr>
      <w:r>
        <w:t xml:space="preserve">5.4 Locations, Team, and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Multiple locations (shops/warehouses) per company with per-location stock tracking; single-location companies simply use the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management: invite members with roles, change roles, deactivate; admins cannot demote or deactivate themselves.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Company settings: rename and currency selection (INR, USD, EUR, etc.) applied to all monetary displays.</w:t>
      </w:r>
    </w:p>
    <w:p>
      <w:pPr>
        <w:pStyle w:val="Heading2"/>
        <w:spacing w:after="100" w:before="200"/>
      </w:pPr>
      <w:r>
        <w:t xml:space="preserve">5.5 Dashboard and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Dashboard: product count, total units, stock value at cost, low-stock alerts, and recent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Reports: current stock valuation (cost and retail) and movement summaries over any date range (timezone-correct), both exportable to CSV for Excel.</w:t>
      </w:r>
    </w:p>
    <w:p>
      <w:pPr>
        <w:pStyle w:val="Heading1"/>
        <w:spacing w:after="120" w:before="280"/>
      </w:pPr>
      <w:r>
        <w:t xml:space="preserve">6. System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19, TypeScript, Vite, Tailwind CSS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Fast, type-safe SPA; component reuse across pages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Express, TypeScript, Zod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with validated inputs and typed business logic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 + Prisma ORM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ACID transactions and relational integrity for stock data; versioned migrations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(access + refresh), bcrypt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Stateless sessions; hashed credentials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(dev), npm workspaces monorepo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Reproducible environments; single-command setup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Request flow: React SPA → Vite dev proxy → Express REST API → Prisma → PostgreSQL. All API routes except registration/login require a valid token; every database query is scoped by the authenticated company.</w:t>
      </w:r>
    </w:p>
    <w:p>
      <w:pPr>
        <w:pStyle w:val="Heading1"/>
        <w:spacing w:after="120" w:before="280"/>
      </w:pPr>
      <w:r>
        <w:t xml:space="preserve">7. Data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tenant. Every other row carries its companyId; all queries filter on it.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 with role; email unique per company; only a bcrypt hash is stored.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Shop, warehouse, or branch; stock is tracked per location.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grouping for products; safe to delete.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 item: SKU (unique per company), prices as exact decimals, low-stock threshold, soft-delete flag.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StockMovement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Immutable ledger line: signed quantity, type, product, location, author, timestamp, optional cost/reference; current stock = SUM(quantity).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Event-sourced stock — </w:t>
      </w:r>
      <w:r>
        <w:rPr>
          <w:sz w:val="22"/>
          <w:szCs w:val="22"/>
        </w:rPr>
        <w:t xml:space="preserve">Stock is event-sourced: quantities are never stored directly, eliminating drift and providing a full audit trail — corrections are compensating entries, like an accounting ledger.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Tenant isolation — </w:t>
      </w:r>
      <w:r>
        <w:rPr>
          <w:sz w:val="22"/>
          <w:szCs w:val="22"/>
        </w:rPr>
        <w:t xml:space="preserve">Row-level isolation via companyId on every table and every query, including lookups by primary key (defense in depth).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Deletion policy — </w:t>
      </w:r>
      <w:r>
        <w:rPr>
          <w:sz w:val="22"/>
          <w:szCs w:val="22"/>
        </w:rPr>
        <w:t xml:space="preserve">Anything referenced by history (products) is soft-deleted; only unreferenced data (categories) can be hard-deleted.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Decimal money — </w:t>
      </w:r>
      <w:r>
        <w:rPr>
          <w:sz w:val="22"/>
          <w:szCs w:val="22"/>
        </w:rPr>
        <w:t xml:space="preserve">Money uses exact decimal columns, never floating point.</w:t>
      </w:r>
    </w:p>
    <w:p>
      <w:pPr>
        <w:pStyle w:val="Heading1"/>
        <w:spacing w:after="120" w:before="280"/>
      </w:pPr>
      <w:r>
        <w:t xml:space="preserve">8.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Passwords hashed with bcrypt; identical error messages for unknown email vs wrong password to prevent account enumeration.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15-minute access tokens limit stolen-token damage; refresh re-validates the account against the database, so deactivation takes effect quickly.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 checks enforced server-side on every route (UI hiding is cosmetic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input validated with Zod schemas; consistent JSON error responses; internals never leaked to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Cross-tenant requests answer 404 — the system does not reveal whether another tenant's resource exists.</w:t>
      </w:r>
    </w:p>
    <w:p>
      <w:pPr>
        <w:pStyle w:val="Heading1"/>
        <w:spacing w:after="120" w:before="280"/>
      </w:pPr>
      <w:r>
        <w:t xml:space="preserve">9. Current Status and Known Limitations</w:t>
      </w:r>
    </w:p>
    <w:p>
      <w:pPr>
        <w:spacing w:after="120"/>
      </w:pPr>
      <w:r>
        <w:rPr>
          <w:sz w:val="22"/>
          <w:szCs w:val="22"/>
        </w:rPr>
        <w:t xml:space="preserve">All features in section 5 are implemented, manually tested (API-level via Postman and UI-level in browser), and version-controlled with an incremental commit history on GitHub (private repository).</w:t>
      </w:r>
    </w:p>
    <w:p>
      <w:pPr>
        <w:pStyle w:val="Heading2"/>
        <w:spacing w:after="100" w:before="200"/>
      </w:pPr>
      <w:r>
        <w:t xml:space="preserve">Known limitations (planned 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automated test suite yet — the stock service (oversell guard, transfer pairing, tenant isolation) is the priority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rate limiting on authentication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yet deployed to a production environment; deployment plan is Docker-based.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addresses are globally unique across tenants (one account per email).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Tables are not paginated in the UI beyond the movements list; large catalogs will need it.</w:t>
      </w:r>
    </w:p>
    <w:p>
      <w:pPr>
        <w:pStyle w:val="Heading1"/>
        <w:spacing w:after="120" w:before="280"/>
      </w:pPr>
      <w:r>
        <w:t xml:space="preserve">10. Roadmap</w:t>
      </w:r>
    </w:p>
    <w:p>
      <w:pPr>
        <w:pStyle w:val="Heading2"/>
        <w:spacing w:after="100" w:before="200"/>
      </w:pPr>
      <w:r>
        <w:t xml:space="preserve">Version 1.1 — Quality and launch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tests for stock and auth logic; rate limiting; production deployment (Dockerized API + managed PostgreSQL); database backups; demo-data seed script.</w:t>
      </w:r>
    </w:p>
    <w:p>
      <w:pPr>
        <w:pStyle w:val="Heading2"/>
        <w:spacing w:after="100" w:before="200"/>
      </w:pPr>
      <w:r>
        <w:t xml:space="preserve">Version 2 — Market-driven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Suppliers and purchase orders; low-stock email/WhatsApp alerts; barcode scanning; batch and expiry tracking; invoicing; admin-facing audit log viewer; per-tenant subscription billing.</w:t>
      </w:r>
    </w:p>
    <w:p>
      <w:pPr>
        <w:pStyle w:val="Heading1"/>
        <w:spacing w:after="120" w:before="280"/>
      </w:pPr>
      <w:r>
        <w:t xml:space="preserve">11.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cross-tenant data incidents (hard requirement).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Recorded stock matches physical count at customer audits (ledger accuracy).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Staff can record a stock movement in under 15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from customer signup to first recorded movement under 10 minutes without assistance.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2026-07-13T18:14:54.866Z</dcterms:created>
  <dcterms:modified xsi:type="dcterms:W3CDTF">2026-07-13T18:14:54.867Z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