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4"/>
          <w:szCs w:val="34"/>
        </w:rPr>
        <w:t xml:space="preserve">A Multi-Agent Retrieval-Augmented Generation Framework for Intelligent Legal Decision Support</w:t>
      </w:r>
    </w:p>
    <w:p>
      <w:pPr>
        <w:spacing w:after="60"/>
        <w:jc w:val="center"/>
      </w:pPr>
      <w:r>
        <w:rPr>
          <w:rFonts w:ascii="Times New Roman" w:cs="Times New Roman" w:eastAsia="Times New Roman" w:hAnsi="Times New Roman"/>
          <w:sz w:val="22"/>
          <w:szCs w:val="22"/>
        </w:rPr>
        <w:t xml:space="preserve">Sripathi Dhruv Reddy (2451-23-751-001), Rajamuri Shivaram Reddy (2451-23-751-002), Mohammed Junaid Ahmed (2451-23-751-024)</w:t>
      </w:r>
    </w:p>
    <w:p>
      <w:pPr>
        <w:spacing w:after="60"/>
        <w:jc w:val="center"/>
      </w:pPr>
      <w:r>
        <w:rPr>
          <w:rFonts w:ascii="Times New Roman" w:cs="Times New Roman" w:eastAsia="Times New Roman" w:hAnsi="Times New Roman"/>
          <w:sz w:val="22"/>
          <w:szCs w:val="22"/>
        </w:rPr>
        <w:t xml:space="preserve">Project Guide: Venkatramana Battula, Sr. Assistant Professor</w:t>
      </w:r>
    </w:p>
    <w:p>
      <w:pPr>
        <w:spacing w:after="60"/>
        <w:jc w:val="center"/>
      </w:pPr>
      <w:r>
        <w:rPr>
          <w:rFonts w:ascii="Times New Roman" w:cs="Times New Roman" w:eastAsia="Times New Roman" w:hAnsi="Times New Roman"/>
          <w:i/>
          <w:iCs/>
          <w:sz w:val="20"/>
          <w:szCs w:val="20"/>
        </w:rPr>
        <w:t xml:space="preserve">Department of Computer Science and Engineering (Allied), Maturi Venkata Subba Rao Engineering College, Hyderabad, India</w:t>
      </w:r>
    </w:p>
    <w:p>
      <w:pPr>
        <w:spacing w:after="260"/>
        <w:jc w:val="center"/>
      </w:pPr>
      <w:r>
        <w:rPr>
          <w:rFonts w:ascii="Times New Roman" w:cs="Times New Roman" w:eastAsia="Times New Roman" w:hAnsi="Times New Roman"/>
          <w:sz w:val="20"/>
          <w:szCs w:val="20"/>
        </w:rPr>
        <w:t xml:space="preserve">Batch ID: 01</w:t>
      </w:r>
    </w:p>
    <w:p>
      <w:pPr>
        <w:sectPr>
          <w:type w:val="continuous"/>
          <w:pgSz w:w="11906" w:h="16838" w:orient="portrait"/>
          <w:pgMar w:top="1134" w:right="1134" w:bottom="1134" w:left="1134" w:header="708" w:footer="708" w:gutter="0"/>
          <w:pgNumType/>
          <w:docGrid w:linePitch="360"/>
        </w:sectPr>
      </w:pPr>
    </w:p>
    <w:p>
      <w:pPr>
        <w:pStyle w:val="Heading1"/>
        <w:spacing w:after="120" w:before="300"/>
      </w:pPr>
      <w:r>
        <w:rPr>
          <w:rFonts w:ascii="Times New Roman" w:cs="Times New Roman" w:eastAsia="Times New Roman" w:hAnsi="Times New Roman"/>
          <w:b/>
          <w:bCs/>
          <w:color w:val="000000"/>
          <w:sz w:val="26"/>
          <w:szCs w:val="26"/>
        </w:rPr>
        <w:t xml:space="preserve">Abstract</w:t>
      </w:r>
    </w:p>
    <w:p>
      <w:pPr>
        <w:spacing w:after="120" w:line="276"/>
        <w:jc w:val="both"/>
      </w:pPr>
      <w:r>
        <w:rPr>
          <w:rFonts w:ascii="Times New Roman" w:cs="Times New Roman" w:eastAsia="Times New Roman" w:hAnsi="Times New Roman"/>
          <w:sz w:val="20"/>
          <w:szCs w:val="20"/>
        </w:rPr>
        <w:t xml:space="preserve">Indian legal material is spread across separate government portals in inconsistent formats, and none of it states plainly which provision is in force today. The position worsened in 2023, when the Indian Penal Code, the Code of Criminal Procedure and the Indian Evidence Act were replaced by three new Sanhitas, leaving most commentary and case law citing provisions that no longer govern. Police officers and advocates therefore spend a large share of their working time on research and documentation that is largely mechanical, and citizens cannot read statutory language at all. General purpose language models do not remove this burden, because a fluent answer carrying an invented citation still has to be checked by hand. This paper presents Corpusil, a multi-agent retrieval-augmented generation framework that serves citizens, police officers, advocates and administrators from one governed corpus of 381 official documents indexed as 25,323 passages. Retrieval combines dense and sparse representations of the same encoder, fused inside the vector database. Specialised agents interpret the question, assemble evidence, reason over it and then verify each drafted claim against the passages that were actually retrieved, withholding anything that cannot be traced to a source. Provisions repealed in 2023 are labelled and mapped to their successors through the official concordance. On a 61-question evaluation set the framework reached recall@5 of 0.927 and published 478 claims with no unsupported claim among them, while a purpose-built instrument showed that measuring recall alone had concealed a separate failure, namely that the governing provision was not reachable at any rank for several core questions.</w:t>
      </w:r>
    </w:p>
    <w:p>
      <w:pPr>
        <w:spacing w:after="120" w:line="276"/>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retrieval-augmented generation, multi-agent systems, legal information retrieval, hybrid search, answer verification, grounded generation, Indian law, Bharatiya Nyaya Sanhita, legal decision support</w:t>
      </w:r>
    </w:p>
    <w:p>
      <w:pPr>
        <w:pStyle w:val="Heading1"/>
        <w:spacing w:after="120" w:before="300"/>
      </w:pPr>
      <w:r>
        <w:rPr>
          <w:rFonts w:ascii="Times New Roman" w:cs="Times New Roman" w:eastAsia="Times New Roman" w:hAnsi="Times New Roman"/>
          <w:b/>
          <w:bCs/>
          <w:color w:val="000000"/>
          <w:sz w:val="26"/>
          <w:szCs w:val="26"/>
        </w:rPr>
        <w:t xml:space="preserve">1. Introduction</w:t>
      </w:r>
    </w:p>
    <w:p>
      <w:pPr>
        <w:spacing w:after="120" w:line="276"/>
        <w:jc w:val="both"/>
      </w:pPr>
      <w:r>
        <w:rPr>
          <w:rFonts w:ascii="Times New Roman" w:cs="Times New Roman" w:eastAsia="Times New Roman" w:hAnsi="Times New Roman"/>
          <w:sz w:val="20"/>
          <w:szCs w:val="20"/>
        </w:rPr>
        <w:t xml:space="preserve">Access to law in India is limited less by secrecy than by scatter. The bare Acts sit on one government portal, the rules made under them on another, amendment notifications in the Gazette, departmental instructions on state police and revenue websites, and judgments in court repositories that each publish in their own format. A large part of this material is distributed as scanned PDF files whose text must be recovered by optical character recognition before a machine can read it at all. Nothing in that collection announces its own status. A section that was repealed last year looks exactly like a section that is in force.</w:t>
      </w:r>
    </w:p>
    <w:p>
      <w:pPr>
        <w:spacing w:after="120" w:line="276"/>
        <w:jc w:val="both"/>
      </w:pPr>
      <w:r>
        <w:rPr>
          <w:rFonts w:ascii="Times New Roman" w:cs="Times New Roman" w:eastAsia="Times New Roman" w:hAnsi="Times New Roman"/>
          <w:sz w:val="20"/>
          <w:szCs w:val="20"/>
        </w:rPr>
        <w:t xml:space="preserve">The Bharatiya Nyaya Sanhita, the Bharatiya Nagarik Suraksha Sanhita and the Bharatiya Sakshya Adhiniyam came into force on 1 July 2024 and replaced the Indian Penal Code of 1860, the Code of Criminal Procedure of 1973 and the Indian Evidence Act of 1872. The change is recent enough that the great majority of judgments, commentaries and departmental circulars still speak in terms of the old numbering. A practitioner who searches for the law on arrest without a warrant will meet section 41 of the Code of Criminal Procedure long before meeting section 35 of the Sanhita that now governs it.</w:t>
      </w:r>
    </w:p>
    <w:p>
      <w:pPr>
        <w:spacing w:after="120" w:line="276"/>
        <w:jc w:val="both"/>
      </w:pPr>
      <w:r>
        <w:rPr>
          <w:rFonts w:ascii="Times New Roman" w:cs="Times New Roman" w:eastAsia="Times New Roman" w:hAnsi="Times New Roman"/>
          <w:sz w:val="20"/>
          <w:szCs w:val="20"/>
        </w:rPr>
        <w:t xml:space="preserve">The cost of this falls unevenly. A citizen, who needs to know whether the police may take a phone, cannot follow the answer even when it is found, because statutes do not describe events the way people experience them. An investigating officer works to statutory deadlines and must produce a first information report, a case diary and a final report that each rest on the correct provision. An advocate must build an argument, anticipate the other side, and confirm that every authority relied upon is still good law. Much of that work is not judgement at all. It is locating a provision, confirming it has not been amended or replaced, drafting the record that follows from it, and checking citations one at a time.</w:t>
      </w:r>
    </w:p>
    <w:p>
      <w:pPr>
        <w:spacing w:after="120" w:line="276"/>
        <w:jc w:val="both"/>
      </w:pPr>
      <w:r>
        <w:rPr>
          <w:rFonts w:ascii="Times New Roman" w:cs="Times New Roman" w:eastAsia="Times New Roman" w:hAnsi="Times New Roman"/>
          <w:sz w:val="20"/>
          <w:szCs w:val="20"/>
        </w:rPr>
        <w:t xml:space="preserve">Large language models appear to answer this need and partly do. They read the question in ordinary language and reply in ordinary language. The difficulty is that they also invent. In the legal setting an invented citation is not a cosmetic error, because the reader cannot tell it apart from a real one without going to the source, which is the very labour the tool was meant to save. Retrieval-augmented generation is widely offered as the remedy, and it does reduce fabrication by placing retrieved text in front of the model. It does not eliminate it. An independent audit of commercial legal research products found that systems built on retrieval still produced incorrect or ungrounded statements in a substantial share of queries [1]. Confidentiality adds a second constraint, since the case material an officer or an advocate holds cannot be sent to an external service at all.</w:t>
      </w:r>
    </w:p>
    <w:p>
      <w:pPr>
        <w:spacing w:after="120" w:line="276"/>
        <w:jc w:val="both"/>
      </w:pPr>
      <w:r>
        <w:rPr>
          <w:rFonts w:ascii="Times New Roman" w:cs="Times New Roman" w:eastAsia="Times New Roman" w:hAnsi="Times New Roman"/>
          <w:sz w:val="20"/>
          <w:szCs w:val="20"/>
        </w:rPr>
        <w:t xml:space="preserve">This paper describes Corpusil, a framework built around a different assumption: that the system should be unable to publish a statement it cannot trace, rather than merely discouraged from doing so. The contributions are as follows.</w:t>
      </w:r>
    </w:p>
    <w:p>
      <w:pPr>
        <w:pStyle w:val="ListParagraph"/>
        <w:numPr>
          <w:ilvl w:val="0"/>
          <w:numId w:val="2"/>
        </w:numPr>
        <w:spacing w:after="80" w:line="276"/>
        <w:jc w:val="both"/>
      </w:pPr>
      <w:r>
        <w:rPr>
          <w:rFonts w:ascii="Times New Roman" w:cs="Times New Roman" w:eastAsia="Times New Roman" w:hAnsi="Times New Roman"/>
          <w:sz w:val="20"/>
          <w:szCs w:val="20"/>
        </w:rPr>
        <w:t xml:space="preserve">A multi-agent pipeline in which a separate verification stage checks every drafted claim against the identifiers of the passages that were actually retrieved, and withholds any claim that fails. Across a 61-question evaluation the system published 478 claims with none unsupported.</w:t>
      </w:r>
    </w:p>
    <w:p>
      <w:pPr>
        <w:pStyle w:val="ListParagraph"/>
        <w:numPr>
          <w:ilvl w:val="0"/>
          <w:numId w:val="2"/>
        </w:numPr>
        <w:spacing w:after="80" w:line="276"/>
        <w:jc w:val="both"/>
      </w:pPr>
      <w:r>
        <w:rPr>
          <w:rFonts w:ascii="Times New Roman" w:cs="Times New Roman" w:eastAsia="Times New Roman" w:hAnsi="Times New Roman"/>
          <w:sz w:val="20"/>
          <w:szCs w:val="20"/>
        </w:rPr>
        <w:t xml:space="preserve">Deterministic handling of repealed law. Currency is resolved from recorded metadata and the official concordance rather than asked of the model, so a provision replaced in 2023 is labelled and its successor named.</w:t>
      </w:r>
    </w:p>
    <w:p>
      <w:pPr>
        <w:pStyle w:val="ListParagraph"/>
        <w:numPr>
          <w:ilvl w:val="0"/>
          <w:numId w:val="2"/>
        </w:numPr>
        <w:spacing w:after="80" w:line="276"/>
        <w:jc w:val="both"/>
      </w:pPr>
      <w:r>
        <w:rPr>
          <w:rFonts w:ascii="Times New Roman" w:cs="Times New Roman" w:eastAsia="Times New Roman" w:hAnsi="Times New Roman"/>
          <w:sz w:val="20"/>
          <w:szCs w:val="20"/>
        </w:rPr>
        <w:t xml:space="preserve">Two mechanisms that recover the governing provision when ordinary similarity search cannot reach it: following the citations contained in retrieved passages forward through the concordance, and a small set of concept-level bridges from the way people ask to the provision that implements the answer.</w:t>
      </w:r>
    </w:p>
    <w:p>
      <w:pPr>
        <w:pStyle w:val="ListParagraph"/>
        <w:numPr>
          <w:ilvl w:val="0"/>
          <w:numId w:val="2"/>
        </w:numPr>
        <w:spacing w:after="80" w:line="276"/>
        <w:jc w:val="both"/>
      </w:pPr>
      <w:r>
        <w:rPr>
          <w:rFonts w:ascii="Times New Roman" w:cs="Times New Roman" w:eastAsia="Times New Roman" w:hAnsi="Times New Roman"/>
          <w:sz w:val="20"/>
          <w:szCs w:val="20"/>
        </w:rPr>
        <w:t xml:space="preserve">An evaluation instrument that measures whether the governing provision was reachable at all, which exposed a failure that recall had hidden, together with a held-out set of reworded questions that guards against tuning to the phrasing of the test.</w:t>
      </w:r>
    </w:p>
    <w:p>
      <w:pPr>
        <w:pStyle w:val="ListParagraph"/>
        <w:numPr>
          <w:ilvl w:val="0"/>
          <w:numId w:val="2"/>
        </w:numPr>
        <w:spacing w:after="80" w:line="276"/>
        <w:jc w:val="both"/>
      </w:pPr>
      <w:r>
        <w:rPr>
          <w:rFonts w:ascii="Times New Roman" w:cs="Times New Roman" w:eastAsia="Times New Roman" w:hAnsi="Times New Roman"/>
          <w:sz w:val="20"/>
          <w:szCs w:val="20"/>
        </w:rPr>
        <w:t xml:space="preserve">Role-separated workspaces in which each case has its own private index, isolated by ownership and role, so that evidence uploaded to one matter cannot surface in another.</w:t>
      </w:r>
    </w:p>
    <w:p>
      <w:pPr>
        <w:spacing w:after="120" w:line="276"/>
        <w:jc w:val="both"/>
      </w:pPr>
      <w:r>
        <w:rPr>
          <w:rFonts w:ascii="Times New Roman" w:cs="Times New Roman" w:eastAsia="Times New Roman" w:hAnsi="Times New Roman"/>
          <w:sz w:val="20"/>
          <w:szCs w:val="20"/>
        </w:rPr>
        <w:t xml:space="preserve">The remainder of the paper reviews related work, states the gap that remains, describes the proposed method and its architecture, reports the dataset and implementation, and presents measured results with their limitations.</w:t>
      </w:r>
    </w:p>
    <w:p>
      <w:pPr>
        <w:pStyle w:val="Heading1"/>
        <w:spacing w:after="120" w:before="300"/>
      </w:pPr>
      <w:r>
        <w:rPr>
          <w:rFonts w:ascii="Times New Roman" w:cs="Times New Roman" w:eastAsia="Times New Roman" w:hAnsi="Times New Roman"/>
          <w:b/>
          <w:bCs/>
          <w:color w:val="000000"/>
          <w:sz w:val="26"/>
          <w:szCs w:val="26"/>
        </w:rPr>
        <w:t xml:space="preserve">2. Literature Review</w:t>
      </w:r>
    </w:p>
    <w:p>
      <w:pPr>
        <w:spacing w:after="120" w:line="276"/>
        <w:jc w:val="both"/>
      </w:pPr>
      <w:r>
        <w:rPr>
          <w:rFonts w:ascii="Times New Roman" w:cs="Times New Roman" w:eastAsia="Times New Roman" w:hAnsi="Times New Roman"/>
          <w:sz w:val="20"/>
          <w:szCs w:val="20"/>
        </w:rPr>
        <w:t xml:space="preserve">Work relevant to this project falls into four groups: legal information retrieval, retrieval-augmented generation and its reliability, multi-agent architectures for legal tasks, and the encoder and fusion techniques on which retrieval rests.</w:t>
      </w:r>
    </w:p>
    <w:p>
      <w:pPr>
        <w:pStyle w:val="Heading2"/>
        <w:spacing w:after="120" w:before="220"/>
      </w:pPr>
      <w:r>
        <w:rPr>
          <w:rFonts w:ascii="Times New Roman" w:cs="Times New Roman" w:eastAsia="Times New Roman" w:hAnsi="Times New Roman"/>
          <w:b/>
          <w:bCs/>
          <w:color w:val="000000"/>
          <w:sz w:val="23"/>
          <w:szCs w:val="23"/>
        </w:rPr>
        <w:t xml:space="preserve">2.1 Legal information retrieval</w:t>
      </w:r>
    </w:p>
    <w:p>
      <w:pPr>
        <w:spacing w:after="120" w:line="276"/>
        <w:jc w:val="both"/>
      </w:pPr>
      <w:r>
        <w:rPr>
          <w:rFonts w:ascii="Times New Roman" w:cs="Times New Roman" w:eastAsia="Times New Roman" w:hAnsi="Times New Roman"/>
          <w:sz w:val="20"/>
          <w:szCs w:val="20"/>
        </w:rPr>
        <w:t xml:space="preserve">Maxwell and Schafer examined why legal search has resisted the methods that work in open-domain retrieval, and argued for what they called recall within the context of precision rather than the pursuit of total recall [2]. They record an older result that remains instructive: in a controlled study, legal researchers retrieved under twenty percent of the relevant documents while believing they had found more than seventy-five percent. The lesson is that a retrieval system can appear successful on its own measurements while failing at the task.</w:t>
      </w:r>
    </w:p>
    <w:p>
      <w:pPr>
        <w:spacing w:after="120" w:line="276"/>
        <w:jc w:val="both"/>
      </w:pPr>
      <w:r>
        <w:rPr>
          <w:rFonts w:ascii="Times New Roman" w:cs="Times New Roman" w:eastAsia="Times New Roman" w:hAnsi="Times New Roman"/>
          <w:sz w:val="20"/>
          <w:szCs w:val="20"/>
        </w:rPr>
        <w:t xml:space="preserve">Bellandi and colleagues addressed a related difficulty on a corpus of Italian civil court decisions [3]. Judges describe the same concept in different words, and annotated training data in the legal domain is scarce, so they combined sentence-level embeddings with zero-shot classification and terminology extraction rather than supervised training. Their framing of the vocabulary problem matches what we observed in Indian statutes, where the provision governing the registration of a first information report never uses that phrase.</w:t>
      </w:r>
    </w:p>
    <w:p>
      <w:pPr>
        <w:spacing w:after="120" w:line="276"/>
        <w:jc w:val="both"/>
      </w:pPr>
      <w:r>
        <w:rPr>
          <w:rFonts w:ascii="Times New Roman" w:cs="Times New Roman" w:eastAsia="Times New Roman" w:hAnsi="Times New Roman"/>
          <w:sz w:val="20"/>
          <w:szCs w:val="20"/>
        </w:rPr>
        <w:t xml:space="preserve">Udayakumar and colleagues proposed a context-aware query interpretation system in which the user role, the jurisdiction and the task intent are encoded as context vectors and combined with an ontology to rewrite the query before ranking, with lexical scoring and semantic similarity combined in the final score [4]. This is the closest published treatment of the idea that different users need different retrieval for the same question. Their contextual knowledge is engineered by hand in OWL, which is precise but expensive to maintain; our work seeks the same effect from an official concordance and a small concept table.</w:t>
      </w:r>
    </w:p>
    <w:p>
      <w:pPr>
        <w:spacing w:after="120" w:line="276"/>
        <w:jc w:val="both"/>
      </w:pPr>
      <w:r>
        <w:rPr>
          <w:rFonts w:ascii="Times New Roman" w:cs="Times New Roman" w:eastAsia="Times New Roman" w:hAnsi="Times New Roman"/>
          <w:sz w:val="20"/>
          <w:szCs w:val="20"/>
        </w:rPr>
        <w:t xml:space="preserve">Huang and colleagues studied citation recommendation on decisions of a United States appeals body, comparing collaborative filtering, text similarity, a recurrent network and a transformer classifier [5]. Two of their findings bear on our design. Local textual context improves the prediction of which authority belongs in a passage, and the pretrained transformer did not outperform the recurrent baseline. Their task is to suggest citations while drafting; ours is to select which of several retrieved authorities deserves to be displayed, but the underlying question of authority selection is the same.</w:t>
      </w:r>
    </w:p>
    <w:p>
      <w:pPr>
        <w:pStyle w:val="Heading2"/>
        <w:spacing w:after="120" w:before="220"/>
      </w:pPr>
      <w:r>
        <w:rPr>
          <w:rFonts w:ascii="Times New Roman" w:cs="Times New Roman" w:eastAsia="Times New Roman" w:hAnsi="Times New Roman"/>
          <w:b/>
          <w:bCs/>
          <w:color w:val="000000"/>
          <w:sz w:val="23"/>
          <w:szCs w:val="23"/>
        </w:rPr>
        <w:t xml:space="preserve">2.2 Retrieval-augmented generation and its reliability</w:t>
      </w:r>
    </w:p>
    <w:p>
      <w:pPr>
        <w:spacing w:after="120" w:line="276"/>
        <w:jc w:val="both"/>
      </w:pPr>
      <w:r>
        <w:rPr>
          <w:rFonts w:ascii="Times New Roman" w:cs="Times New Roman" w:eastAsia="Times New Roman" w:hAnsi="Times New Roman"/>
          <w:sz w:val="20"/>
          <w:szCs w:val="20"/>
        </w:rPr>
        <w:t xml:space="preserve">Retrieval-augmented generation supplies a language model with passages fetched at query time so that its output can rest on a corpus rather than on memorised training text [6]. The technique is now standard practice in domain question answering, and the legal technology industry has adopted it widely.</w:t>
      </w:r>
    </w:p>
    <w:p>
      <w:pPr>
        <w:spacing w:after="120" w:line="276"/>
        <w:jc w:val="both"/>
      </w:pPr>
      <w:r>
        <w:rPr>
          <w:rFonts w:ascii="Times New Roman" w:cs="Times New Roman" w:eastAsia="Times New Roman" w:hAnsi="Times New Roman"/>
          <w:sz w:val="20"/>
          <w:szCs w:val="20"/>
        </w:rPr>
        <w:t xml:space="preserve">Magesh and colleagues tested that adoption empirically [1]. They evaluated commercial legal research products against a preregistered set of more than two hundred queries and found that retrieval reduced fabrication relative to a general model but did not remove it, with hallucination rates between roughly seventeen and thirty-three percent depending on the product, and one system returning incomplete or ungrounded answers on over sixty percent of queries. Their decomposition of the problem into correctness and groundedness is the distinction our verification stage enforces directly: a claim may be true in the world and still be ungrounded in what the system retrieved, and a system that cannot tell the difference cannot be audited.</w:t>
      </w:r>
    </w:p>
    <w:p>
      <w:pPr>
        <w:spacing w:after="120" w:line="276"/>
        <w:jc w:val="both"/>
      </w:pPr>
      <w:r>
        <w:rPr>
          <w:rFonts w:ascii="Times New Roman" w:cs="Times New Roman" w:eastAsia="Times New Roman" w:hAnsi="Times New Roman"/>
          <w:sz w:val="20"/>
          <w:szCs w:val="20"/>
        </w:rPr>
        <w:t xml:space="preserve">Gupta and colleagues report the work closest to ours in subject matter [7]. Their system answers Indian legal questions using retrieval over a curated corpus of more than six hundred documents, including the new Sanhitas, with generation by an eight-billion-parameter model quantized for local execution. They evaluate on the All India Bar Examination and introduce an efficiency measure relating performance to parameter count. Grounding is pursued through prompt design, the system prompt instructing the model to answer only from supplied context and otherwise to say that it does not know. We take this work as our base and depart from it in the places set out in Section 3.</w:t>
      </w:r>
    </w:p>
    <w:p>
      <w:pPr>
        <w:pStyle w:val="Heading2"/>
        <w:spacing w:after="120" w:before="220"/>
      </w:pPr>
      <w:r>
        <w:rPr>
          <w:rFonts w:ascii="Times New Roman" w:cs="Times New Roman" w:eastAsia="Times New Roman" w:hAnsi="Times New Roman"/>
          <w:b/>
          <w:bCs/>
          <w:color w:val="000000"/>
          <w:sz w:val="23"/>
          <w:szCs w:val="23"/>
        </w:rPr>
        <w:t xml:space="preserve">2.3 Multi-agent approaches</w:t>
      </w:r>
    </w:p>
    <w:p>
      <w:pPr>
        <w:spacing w:after="120" w:line="276"/>
        <w:jc w:val="both"/>
      </w:pPr>
      <w:r>
        <w:rPr>
          <w:rFonts w:ascii="Times New Roman" w:cs="Times New Roman" w:eastAsia="Times New Roman" w:hAnsi="Times New Roman"/>
          <w:sz w:val="20"/>
          <w:szCs w:val="20"/>
        </w:rPr>
        <w:t xml:space="preserve">He and colleagues proposed a multi-agent framework for judicial decision-making in which separate agents take the parts of judge, plaintiff and defendant, a retrieval module supplies precedents and statutory articles from a purpose-built knowledge base, and a refinement module revises a preliminary judgement against what was retrieved [8]. The decomposition of a legal task across cooperating agents, and the draft-then-revise loop, informed our pipeline. Their target task is different from ours in a way that matters: they predict the outcome of a case, whereas the framework described here deliberately refuses to predict outcomes and confines itself to locating, explaining and verifying the applicable law.</w:t>
      </w:r>
    </w:p>
    <w:p>
      <w:pPr>
        <w:pStyle w:val="Heading2"/>
        <w:spacing w:after="120" w:before="220"/>
      </w:pPr>
      <w:r>
        <w:rPr>
          <w:rFonts w:ascii="Times New Roman" w:cs="Times New Roman" w:eastAsia="Times New Roman" w:hAnsi="Times New Roman"/>
          <w:b/>
          <w:bCs/>
          <w:color w:val="000000"/>
          <w:sz w:val="23"/>
          <w:szCs w:val="23"/>
        </w:rPr>
        <w:t xml:space="preserve">2.4 Encoders and fusion</w:t>
      </w:r>
    </w:p>
    <w:p>
      <w:pPr>
        <w:spacing w:after="120" w:line="276"/>
        <w:jc w:val="both"/>
      </w:pPr>
      <w:r>
        <w:rPr>
          <w:rFonts w:ascii="Times New Roman" w:cs="Times New Roman" w:eastAsia="Times New Roman" w:hAnsi="Times New Roman"/>
          <w:sz w:val="20"/>
          <w:szCs w:val="20"/>
        </w:rPr>
        <w:t xml:space="preserve">Dense retrieval maps queries and passages into a shared vector space so that semantically related text is close together, which recovers documents that share no vocabulary with the query [9]. Lexical scoring functions of the BM25 family remain strong where exact terms matter [10], which in statutory search they often do, since section numbers and defined terms are precisely the tokens a dense encoder is most likely to blur. Chalkidis and colleagues showed that pretraining on legal text improves performance on legal tasks [11], establishing domain adaptation of encoders as a reasonable default.</w:t>
      </w:r>
    </w:p>
    <w:p>
      <w:pPr>
        <w:spacing w:after="120" w:line="276"/>
        <w:jc w:val="both"/>
      </w:pPr>
      <w:r>
        <w:rPr>
          <w:rFonts w:ascii="Times New Roman" w:cs="Times New Roman" w:eastAsia="Times New Roman" w:hAnsi="Times New Roman"/>
          <w:sz w:val="20"/>
          <w:szCs w:val="20"/>
        </w:rPr>
        <w:t xml:space="preserve">The M3-Embedding model produces dense, sparse and multi-vector representations from a single encoder, supports passages up to 8,192 tokens, and covers more than one hundred languages [12]. Its sparse output makes hybrid retrieval available without maintaining a second system, its context length allows a statutory section to be embedded whole, and its multilingual coverage matters for a corpus that will eventually have to answer questions asked in Telugu and Hindi. Reciprocal rank fusion combines rankings from different retrieval methods using only the ranks, which avoids the score normalisation problems that arise when combining a similarity and a lexical score [13]. Both are used directly in this work.</w:t>
      </w:r>
    </w:p>
    <w:p>
      <w:pPr>
        <w:pStyle w:val="Heading1"/>
        <w:spacing w:after="120" w:before="300"/>
      </w:pPr>
      <w:r>
        <w:rPr>
          <w:rFonts w:ascii="Times New Roman" w:cs="Times New Roman" w:eastAsia="Times New Roman" w:hAnsi="Times New Roman"/>
          <w:b/>
          <w:bCs/>
          <w:color w:val="000000"/>
          <w:sz w:val="26"/>
          <w:szCs w:val="26"/>
        </w:rPr>
        <w:t xml:space="preserve">3. Research Gap</w:t>
      </w:r>
    </w:p>
    <w:p>
      <w:pPr>
        <w:spacing w:after="120" w:line="276"/>
        <w:jc w:val="both"/>
      </w:pPr>
      <w:r>
        <w:rPr>
          <w:rFonts w:ascii="Times New Roman" w:cs="Times New Roman" w:eastAsia="Times New Roman" w:hAnsi="Times New Roman"/>
          <w:sz w:val="20"/>
          <w:szCs w:val="20"/>
        </w:rPr>
        <w:t xml:space="preserve">The works reviewed above solve parts of the problem, but several requirements that a deployable Indian legal assistant must meet are not addressed by any of them.</w:t>
      </w:r>
    </w:p>
    <w:p>
      <w:pPr>
        <w:spacing w:after="120" w:line="276"/>
        <w:jc w:val="both"/>
      </w:pPr>
      <w:r>
        <w:rPr>
          <w:rFonts w:ascii="Times New Roman" w:cs="Times New Roman" w:eastAsia="Times New Roman" w:hAnsi="Times New Roman"/>
          <w:sz w:val="20"/>
          <w:szCs w:val="20"/>
        </w:rPr>
        <w:t xml:space="preserve">The first concerns grounding. Existing systems, including the base work, seek grounding by instructing the model to rely only on supplied context. The audit of commercial products shows what that approach is worth in practice: the instruction is followed most of the time and ignored often enough to matter [1]. Nothing in the reviewed literature enforces the constraint after generation, by checking that each statement in the finished answer corresponds to a passage that was actually retrieved and by discarding those that do not.</w:t>
      </w:r>
    </w:p>
    <w:p>
      <w:pPr>
        <w:spacing w:after="120" w:line="276"/>
        <w:jc w:val="both"/>
      </w:pPr>
      <w:r>
        <w:rPr>
          <w:rFonts w:ascii="Times New Roman" w:cs="Times New Roman" w:eastAsia="Times New Roman" w:hAnsi="Times New Roman"/>
          <w:sz w:val="20"/>
          <w:szCs w:val="20"/>
        </w:rPr>
        <w:t xml:space="preserve">The second concerns currency. The Indian corpus is unusual in that three foundational codes were replaced at a single moment, so the same question has one answer in nearly all published commentary and a different answer in law. Corpora assembled for Indian legal assistants include the new Sanhitas, which is necessary but not sufficient. Unless the relation between an old provision and its successor is represented explicitly, retrieval will continue to return the repealed provision, because that is what the surrounding literature cites. No reviewed system treats repeal and succession as first-class metadata.</w:t>
      </w:r>
    </w:p>
    <w:p>
      <w:pPr>
        <w:spacing w:after="120" w:line="276"/>
        <w:jc w:val="both"/>
      </w:pPr>
      <w:r>
        <w:rPr>
          <w:rFonts w:ascii="Times New Roman" w:cs="Times New Roman" w:eastAsia="Times New Roman" w:hAnsi="Times New Roman"/>
          <w:sz w:val="20"/>
          <w:szCs w:val="20"/>
        </w:rPr>
        <w:t xml:space="preserve">The third concerns measurement. Retrieval is usually assessed with recall and mean reciprocal rank against relevance labels that mark a passage relevant if it contains the expected phrase. A judgment that quotes a section satisfies such a predicate as fully as the section itself. It is therefore possible for recall to look excellent while the provision that actually governs the question is absent from the results, which is precisely what we found and report in Section 10. No reviewed evaluation asks whether the governing provision was reachable at all.</w:t>
      </w:r>
    </w:p>
    <w:p>
      <w:pPr>
        <w:spacing w:after="120" w:line="276"/>
        <w:jc w:val="both"/>
      </w:pPr>
      <w:r>
        <w:rPr>
          <w:rFonts w:ascii="Times New Roman" w:cs="Times New Roman" w:eastAsia="Times New Roman" w:hAnsi="Times New Roman"/>
          <w:sz w:val="20"/>
          <w:szCs w:val="20"/>
        </w:rPr>
        <w:t xml:space="preserve">The fourth concerns the user. Context-aware retrieval that accounts for user role and jurisdiction has been demonstrated at the query level [4], but not carried through to a working system in which each role has its own workflow and its own private case data with enforced isolation. An officer needs statutory deadlines computed from recorded dates; an advocate needs the argument that can be made against the client; a citizen needs the same law in ordinary words. These are different products over one corpus, not one product with three labels.</w:t>
      </w:r>
    </w:p>
    <w:p>
      <w:pPr>
        <w:pStyle w:val="Heading1"/>
        <w:spacing w:after="120" w:before="300"/>
      </w:pPr>
      <w:r>
        <w:rPr>
          <w:rFonts w:ascii="Times New Roman" w:cs="Times New Roman" w:eastAsia="Times New Roman" w:hAnsi="Times New Roman"/>
          <w:b/>
          <w:bCs/>
          <w:color w:val="000000"/>
          <w:sz w:val="26"/>
          <w:szCs w:val="26"/>
        </w:rPr>
        <w:t xml:space="preserve">4. Objectives</w:t>
      </w:r>
    </w:p>
    <w:p>
      <w:pPr>
        <w:pStyle w:val="ListParagraph"/>
        <w:numPr>
          <w:ilvl w:val="0"/>
          <w:numId w:val="3"/>
        </w:numPr>
        <w:spacing w:after="80" w:line="276"/>
        <w:jc w:val="both"/>
      </w:pPr>
      <w:r>
        <w:rPr>
          <w:rFonts w:ascii="Times New Roman" w:cs="Times New Roman" w:eastAsia="Times New Roman" w:hAnsi="Times New Roman"/>
          <w:sz w:val="20"/>
          <w:szCs w:val="20"/>
        </w:rPr>
        <w:t xml:space="preserve">To consolidate official Indian legal sources into a single governed corpus in which each passage carries its provenance, its jurisdiction and its status in force.</w:t>
      </w:r>
    </w:p>
    <w:p>
      <w:pPr>
        <w:pStyle w:val="ListParagraph"/>
        <w:numPr>
          <w:ilvl w:val="0"/>
          <w:numId w:val="3"/>
        </w:numPr>
        <w:spacing w:after="80" w:line="276"/>
        <w:jc w:val="both"/>
      </w:pPr>
      <w:r>
        <w:rPr>
          <w:rFonts w:ascii="Times New Roman" w:cs="Times New Roman" w:eastAsia="Times New Roman" w:hAnsi="Times New Roman"/>
          <w:sz w:val="20"/>
          <w:szCs w:val="20"/>
        </w:rPr>
        <w:t xml:space="preserve">To build a hybrid retrieval layer over that corpus, combining dense and sparse representations so that both the meaning of a question and its exact statutory terms contribute to the ranking.</w:t>
      </w:r>
    </w:p>
    <w:p>
      <w:pPr>
        <w:pStyle w:val="ListParagraph"/>
        <w:numPr>
          <w:ilvl w:val="0"/>
          <w:numId w:val="3"/>
        </w:numPr>
        <w:spacing w:after="80" w:line="276"/>
        <w:jc w:val="both"/>
      </w:pPr>
      <w:r>
        <w:rPr>
          <w:rFonts w:ascii="Times New Roman" w:cs="Times New Roman" w:eastAsia="Times New Roman" w:hAnsi="Times New Roman"/>
          <w:sz w:val="20"/>
          <w:szCs w:val="20"/>
        </w:rPr>
        <w:t xml:space="preserve">To design a multi-agent pipeline in which interpretation, retrieval, reasoning and verification are separate stages with separate responsibilities.</w:t>
      </w:r>
    </w:p>
    <w:p>
      <w:pPr>
        <w:pStyle w:val="ListParagraph"/>
        <w:numPr>
          <w:ilvl w:val="0"/>
          <w:numId w:val="3"/>
        </w:numPr>
        <w:spacing w:after="80" w:line="276"/>
        <w:jc w:val="both"/>
      </w:pPr>
      <w:r>
        <w:rPr>
          <w:rFonts w:ascii="Times New Roman" w:cs="Times New Roman" w:eastAsia="Times New Roman" w:hAnsi="Times New Roman"/>
          <w:sz w:val="20"/>
          <w:szCs w:val="20"/>
        </w:rPr>
        <w:t xml:space="preserve">To enforce, as a property of the system rather than a request to the model, that no claim is published unless the passage supporting it was retrieved for that question.</w:t>
      </w:r>
    </w:p>
    <w:p>
      <w:pPr>
        <w:pStyle w:val="ListParagraph"/>
        <w:numPr>
          <w:ilvl w:val="0"/>
          <w:numId w:val="3"/>
        </w:numPr>
        <w:spacing w:after="80" w:line="276"/>
        <w:jc w:val="both"/>
      </w:pPr>
      <w:r>
        <w:rPr>
          <w:rFonts w:ascii="Times New Roman" w:cs="Times New Roman" w:eastAsia="Times New Roman" w:hAnsi="Times New Roman"/>
          <w:sz w:val="20"/>
          <w:szCs w:val="20"/>
        </w:rPr>
        <w:t xml:space="preserve">To resolve the currency of every cited provision deterministically, labelling repealed provisions and naming their successors from the official concordance.</w:t>
      </w:r>
    </w:p>
    <w:p>
      <w:pPr>
        <w:pStyle w:val="ListParagraph"/>
        <w:numPr>
          <w:ilvl w:val="0"/>
          <w:numId w:val="3"/>
        </w:numPr>
        <w:spacing w:after="80" w:line="276"/>
        <w:jc w:val="both"/>
      </w:pPr>
      <w:r>
        <w:rPr>
          <w:rFonts w:ascii="Times New Roman" w:cs="Times New Roman" w:eastAsia="Times New Roman" w:hAnsi="Times New Roman"/>
          <w:sz w:val="20"/>
          <w:szCs w:val="20"/>
        </w:rPr>
        <w:t xml:space="preserve">To provide role-specific workflows for citizens, police officers and advocates over the same corpus, with private case evidence isolated by ownership and role.</w:t>
      </w:r>
    </w:p>
    <w:p>
      <w:pPr>
        <w:pStyle w:val="ListParagraph"/>
        <w:numPr>
          <w:ilvl w:val="0"/>
          <w:numId w:val="3"/>
        </w:numPr>
        <w:spacing w:after="80" w:line="276"/>
        <w:jc w:val="both"/>
      </w:pPr>
      <w:r>
        <w:rPr>
          <w:rFonts w:ascii="Times New Roman" w:cs="Times New Roman" w:eastAsia="Times New Roman" w:hAnsi="Times New Roman"/>
          <w:sz w:val="20"/>
          <w:szCs w:val="20"/>
        </w:rPr>
        <w:t xml:space="preserve">To evaluate the system on retrieval quality, answer grounding, currency, abstention and reachability of the governing provision, and to report the failures alongside the successes.</w:t>
      </w:r>
    </w:p>
    <w:p>
      <w:pPr>
        <w:pStyle w:val="Heading1"/>
        <w:spacing w:after="120" w:before="300"/>
      </w:pPr>
      <w:r>
        <w:rPr>
          <w:rFonts w:ascii="Times New Roman" w:cs="Times New Roman" w:eastAsia="Times New Roman" w:hAnsi="Times New Roman"/>
          <w:b/>
          <w:bCs/>
          <w:color w:val="000000"/>
          <w:sz w:val="26"/>
          <w:szCs w:val="26"/>
        </w:rPr>
        <w:t xml:space="preserve">5. Proposed Methodology</w:t>
      </w:r>
    </w:p>
    <w:p>
      <w:pPr>
        <w:pStyle w:val="Heading2"/>
        <w:spacing w:after="120" w:before="220"/>
      </w:pPr>
      <w:r>
        <w:rPr>
          <w:rFonts w:ascii="Times New Roman" w:cs="Times New Roman" w:eastAsia="Times New Roman" w:hAnsi="Times New Roman"/>
          <w:b/>
          <w:bCs/>
          <w:color w:val="000000"/>
          <w:sz w:val="23"/>
          <w:szCs w:val="23"/>
        </w:rPr>
        <w:t xml:space="preserve">5.1 Data collection</w:t>
      </w:r>
    </w:p>
    <w:p>
      <w:pPr>
        <w:spacing w:after="120" w:line="276"/>
        <w:jc w:val="both"/>
      </w:pPr>
      <w:r>
        <w:rPr>
          <w:rFonts w:ascii="Times New Roman" w:cs="Times New Roman" w:eastAsia="Times New Roman" w:hAnsi="Times New Roman"/>
          <w:sz w:val="20"/>
          <w:szCs w:val="20"/>
        </w:rPr>
        <w:t xml:space="preserve">Documents are acquired only from official publishers: the Gazette of India and the India Code repository for central Acts, ministry and departmental portals for rules and circulars, and court repositories for judgments. Each download is recorded with its source URL, the date of acquisition and a SHA-256 checksum of the file, so that a passage in the index can always be traced to a specific file obtained from a specific place on a specific day. Files whose publisher cannot be established are not admitted.</w:t>
      </w:r>
    </w:p>
    <w:p>
      <w:pPr>
        <w:pStyle w:val="Heading2"/>
        <w:spacing w:after="120" w:before="220"/>
      </w:pPr>
      <w:r>
        <w:rPr>
          <w:rFonts w:ascii="Times New Roman" w:cs="Times New Roman" w:eastAsia="Times New Roman" w:hAnsi="Times New Roman"/>
          <w:b/>
          <w:bCs/>
          <w:color w:val="000000"/>
          <w:sz w:val="23"/>
          <w:szCs w:val="23"/>
        </w:rPr>
        <w:t xml:space="preserve">5.2 Preprocessing</w:t>
      </w:r>
    </w:p>
    <w:p>
      <w:pPr>
        <w:spacing w:after="120" w:line="276"/>
        <w:jc w:val="both"/>
      </w:pPr>
      <w:r>
        <w:rPr>
          <w:rFonts w:ascii="Times New Roman" w:cs="Times New Roman" w:eastAsia="Times New Roman" w:hAnsi="Times New Roman"/>
          <w:sz w:val="20"/>
          <w:szCs w:val="20"/>
        </w:rPr>
        <w:t xml:space="preserve">Text is extracted from each PDF with a layout-aware reader, and pages whose native text layer is missing or too short are rendered and passed through optical character recognition. Extracted text is checked, duplicates are removed by content hash, and the surviving documents are segmented.</w:t>
      </w:r>
    </w:p>
    <w:p>
      <w:pPr>
        <w:spacing w:after="120" w:line="276"/>
        <w:jc w:val="both"/>
      </w:pPr>
      <w:r>
        <w:rPr>
          <w:rFonts w:ascii="Times New Roman" w:cs="Times New Roman" w:eastAsia="Times New Roman" w:hAnsi="Times New Roman"/>
          <w:sz w:val="20"/>
          <w:szCs w:val="20"/>
        </w:rPr>
        <w:t xml:space="preserve">Two aspects of this stage required work specific to Indian bare Acts. The first is that these Acts are printed with the marginal note of each section in a narrow left-hand column. A reader that walks the page line by line interleaves that column with the body, so every line of the section arrives with a fragment of its own heading welded to the front, and the sentence can no longer be quoted or matched against the source. Measured on the deployed index, this pattern affected 56.2 percent of passages from the Bharatiya Nyaya Sanhita, 43.8 percent from the Bharatiya Nagarik Suraksha Sanhita and 56.7 percent from the Bharatiya Sakshya Adhiniyam, against 14.2 percent for the Constitution, which is set in a single column. We therefore separate the columns geometrically, detecting the gutter as a vertical band that most lines leave empty and assigning each word to the column holding the greater part of it, and emit each marginal note whole, immediately above the section it names.</w:t>
      </w:r>
    </w:p>
    <w:p>
      <w:pPr>
        <w:spacing w:after="120" w:line="276"/>
        <w:jc w:val="both"/>
      </w:pPr>
      <w:r>
        <w:rPr>
          <w:rFonts w:ascii="Times New Roman" w:cs="Times New Roman" w:eastAsia="Times New Roman" w:hAnsi="Times New Roman"/>
          <w:sz w:val="20"/>
          <w:szCs w:val="20"/>
        </w:rPr>
        <w:t xml:space="preserve">The second is segmentation. Fixed-length chunking cuts statutes at arbitrary points, separating a subsection from the sentence that governs it. Documents are therefore segmented along their own structure, by chapter, section and subsection, so that a retrieved passage is a unit a lawyer would recognise. Each segment inherits the metadata of its document and records its own section number, page range and status.</w:t>
      </w:r>
    </w:p>
    <w:p>
      <w:pPr>
        <w:pStyle w:val="Heading2"/>
        <w:spacing w:after="120" w:before="220"/>
      </w:pPr>
      <w:r>
        <w:rPr>
          <w:rFonts w:ascii="Times New Roman" w:cs="Times New Roman" w:eastAsia="Times New Roman" w:hAnsi="Times New Roman"/>
          <w:b/>
          <w:bCs/>
          <w:color w:val="000000"/>
          <w:sz w:val="23"/>
          <w:szCs w:val="23"/>
        </w:rPr>
        <w:t xml:space="preserve">5.3 Representation and indexing</w:t>
      </w:r>
    </w:p>
    <w:p>
      <w:pPr>
        <w:spacing w:after="120" w:line="276"/>
        <w:jc w:val="both"/>
      </w:pPr>
      <w:r>
        <w:rPr>
          <w:rFonts w:ascii="Times New Roman" w:cs="Times New Roman" w:eastAsia="Times New Roman" w:hAnsi="Times New Roman"/>
          <w:sz w:val="20"/>
          <w:szCs w:val="20"/>
        </w:rPr>
        <w:t xml:space="preserve">Every passage is encoded once by a multi-functional encoder that emits both a dense vector and a sparse term-weight vector [12]. Both are stored in the same vector database record. At query time the question is encoded the same way, the two searches run together, and their rankings are combined by reciprocal rank fusion inside the database [13], which avoids moving candidate sets across the network and avoids normalising two incomparable score scales. A cross-encoder reranker was implemented and evaluated, and is disabled by default: on this corpus it added roughly five seconds per query and did not improve the rank of the correct passage.</w:t>
      </w:r>
    </w:p>
    <w:p>
      <w:pPr>
        <w:pStyle w:val="Heading2"/>
        <w:spacing w:after="120" w:before="220"/>
      </w:pPr>
      <w:r>
        <w:rPr>
          <w:rFonts w:ascii="Times New Roman" w:cs="Times New Roman" w:eastAsia="Times New Roman" w:hAnsi="Times New Roman"/>
          <w:b/>
          <w:bCs/>
          <w:color w:val="000000"/>
          <w:sz w:val="23"/>
          <w:szCs w:val="23"/>
        </w:rPr>
        <w:t xml:space="preserve">5.4 The agent pipeline</w:t>
      </w:r>
    </w:p>
    <w:p>
      <w:pPr>
        <w:spacing w:after="120" w:line="276"/>
        <w:jc w:val="both"/>
      </w:pPr>
      <w:r>
        <w:rPr>
          <w:rFonts w:ascii="Times New Roman" w:cs="Times New Roman" w:eastAsia="Times New Roman" w:hAnsi="Times New Roman"/>
          <w:sz w:val="20"/>
          <w:szCs w:val="20"/>
        </w:rPr>
        <w:t xml:space="preserve">A request passes through six stages. The role context stage fixes what the user may see and how the answer should be shaped. Query understanding normalises the question, corrects obvious misspellings and extracts the entities and the intent. Retrieval assembles candidate passages from the public corpus and, when the question is asked inside a case, from that case private index as well. Reasoning drafts an answer over the assembled evidence. Verification checks that draft. Response generation formats what survived for the role that asked.</w:t>
      </w:r>
    </w:p>
    <w:p>
      <w:pPr>
        <w:spacing w:after="120" w:line="276"/>
        <w:jc w:val="both"/>
      </w:pPr>
      <w:r>
        <w:rPr>
          <w:rFonts w:ascii="Times New Roman" w:cs="Times New Roman" w:eastAsia="Times New Roman" w:hAnsi="Times New Roman"/>
          <w:sz w:val="20"/>
          <w:szCs w:val="20"/>
        </w:rPr>
        <w:t xml:space="preserve">If verification rejects too much of the draft, the pipeline may return to retrieval with a broadened query and try again, at most twice. The retry is built to broaden from the original question rather than from the previously broadened form, because compounding successive expansions was observed to drift away from the topic the user asked about.</w:t>
      </w:r>
    </w:p>
    <w:p>
      <w:pPr>
        <w:pStyle w:val="Heading2"/>
        <w:spacing w:after="120" w:before="220"/>
      </w:pPr>
      <w:r>
        <w:rPr>
          <w:rFonts w:ascii="Times New Roman" w:cs="Times New Roman" w:eastAsia="Times New Roman" w:hAnsi="Times New Roman"/>
          <w:b/>
          <w:bCs/>
          <w:color w:val="000000"/>
          <w:sz w:val="23"/>
          <w:szCs w:val="23"/>
        </w:rPr>
        <w:t xml:space="preserve">5.5 Verification and abstention</w:t>
      </w:r>
    </w:p>
    <w:p>
      <w:pPr>
        <w:spacing w:after="120" w:line="276"/>
        <w:jc w:val="both"/>
      </w:pPr>
      <w:r>
        <w:rPr>
          <w:rFonts w:ascii="Times New Roman" w:cs="Times New Roman" w:eastAsia="Times New Roman" w:hAnsi="Times New Roman"/>
          <w:sz w:val="20"/>
          <w:szCs w:val="20"/>
        </w:rPr>
        <w:t xml:space="preserve">Verification is the stage that distinguishes this framework from a conventional retrieval-augmented pipeline. The drafted answer is decomposed into individual claims, each carrying the identifier of the passage it relies on. A claim is publishable only if that identifier appears in the set of passages retrieved for this question. Claims that fail are removed from the answer rather than flagged, since a flagged claim is still read. If too little survives for the answer to address the question, the system abstains and states what it could not support, rather than returning a partial answer that looks complete.</w:t>
      </w:r>
    </w:p>
    <w:p>
      <w:pPr>
        <w:spacing w:after="120" w:line="276"/>
        <w:jc w:val="both"/>
      </w:pPr>
      <w:r>
        <w:rPr>
          <w:rFonts w:ascii="Times New Roman" w:cs="Times New Roman" w:eastAsia="Times New Roman" w:hAnsi="Times New Roman"/>
          <w:sz w:val="20"/>
          <w:szCs w:val="20"/>
        </w:rPr>
        <w:t xml:space="preserve">This is a deliberately conservative rule. It does not verify that a claim is true; it verifies that it is grounded, which is the property a reader can check and an auditor can require. A true statement that the corpus does not support is withheld along with a false one.</w:t>
      </w:r>
    </w:p>
    <w:p>
      <w:pPr>
        <w:pStyle w:val="Heading2"/>
        <w:spacing w:after="120" w:before="220"/>
      </w:pPr>
      <w:r>
        <w:rPr>
          <w:rFonts w:ascii="Times New Roman" w:cs="Times New Roman" w:eastAsia="Times New Roman" w:hAnsi="Times New Roman"/>
          <w:b/>
          <w:bCs/>
          <w:color w:val="000000"/>
          <w:sz w:val="23"/>
          <w:szCs w:val="23"/>
        </w:rPr>
        <w:t xml:space="preserve">5.6 Currency resolution and provision reach</w:t>
      </w:r>
    </w:p>
    <w:p>
      <w:pPr>
        <w:spacing w:after="120" w:line="276"/>
        <w:jc w:val="both"/>
      </w:pPr>
      <w:r>
        <w:rPr>
          <w:rFonts w:ascii="Times New Roman" w:cs="Times New Roman" w:eastAsia="Times New Roman" w:hAnsi="Times New Roman"/>
          <w:sz w:val="20"/>
          <w:szCs w:val="20"/>
        </w:rPr>
        <w:t xml:space="preserve">Currency is treated as data, not as a question for the model. Each passage carries a status derived from its document metadata, and citations are resolved through the concordance published with the 2023 recodification, which maps provisions of the old codes to their successors. A cited provision that has been replaced is labelled and its successor named; a provision that was not carried forward is reported as such rather than mapped to a guess.</w:t>
      </w:r>
    </w:p>
    <w:p>
      <w:pPr>
        <w:spacing w:after="120" w:line="276"/>
        <w:jc w:val="both"/>
      </w:pPr>
      <w:r>
        <w:rPr>
          <w:rFonts w:ascii="Times New Roman" w:cs="Times New Roman" w:eastAsia="Times New Roman" w:hAnsi="Times New Roman"/>
          <w:sz w:val="20"/>
          <w:szCs w:val="20"/>
        </w:rPr>
        <w:t xml:space="preserve">Two mechanisms recover provisions that similarity search alone cannot reach. The first follows citations: retrieved passages, typically judgments, cite the old codes, and those citations are carried forward through the concordance and the successor provisions fetched. The second bridges the gap between the way a question is asked and the provision that implements the answer, for cases where no citation path exists. An early version of these bridges was written as patterns over the wording of the evaluation questions, which produced an apparently perfect score; tested on the same questions reworded, it succeeded once in ten. They were rewritten as concepts, groups of interchangeable terms matched as word prefixes with exclusions for neighbouring offences, together with a general rule that any repealed section named in the question is routed through the concordance. Section 10 reports both figures.</w:t>
      </w:r>
    </w:p>
    <w:p>
      <w:pPr>
        <w:pStyle w:val="Heading1"/>
        <w:spacing w:after="120" w:before="300"/>
      </w:pPr>
      <w:r>
        <w:rPr>
          <w:rFonts w:ascii="Times New Roman" w:cs="Times New Roman" w:eastAsia="Times New Roman" w:hAnsi="Times New Roman"/>
          <w:b/>
          <w:bCs/>
          <w:color w:val="000000"/>
          <w:sz w:val="26"/>
          <w:szCs w:val="26"/>
        </w:rPr>
        <w:t xml:space="preserve">6. System Architecture</w:t>
      </w:r>
    </w:p>
    <w:p>
      <w:pPr>
        <w:spacing w:after="120" w:line="276"/>
        <w:jc w:val="both"/>
      </w:pPr>
      <w:r>
        <w:rPr>
          <w:rFonts w:ascii="Times New Roman" w:cs="Times New Roman" w:eastAsia="Times New Roman" w:hAnsi="Times New Roman"/>
          <w:sz w:val="20"/>
          <w:szCs w:val="20"/>
        </w:rPr>
        <w:t xml:space="preserve">Figure 1 shows the arrangement of the system. Four role-specific interfaces sit above a single service layer that performs authentication, role-based access control, ownership checks and rate limiting. Below it, the orchestration layer runs the six-stage pipeline. Three stores sit beneath: a vector database holding the public corpus and the private case collections, a relational database holding users, cases, chat sessions and the audit trail, and an object store holding uploaded case files in their original form. Generation is served by a locally hosted model, so no legal text leaves the deployment.</w:t>
      </w:r>
    </w:p>
    <w:p>
      <w:pPr>
        <w:sectPr>
          <w:type w:val="continuous"/>
          <w:pgSz w:w="11906" w:h="16838" w:orient="portrait"/>
          <w:pgMar w:top="1134" w:right="1134" w:bottom="1134" w:left="1134" w:header="708" w:footer="708" w:gutter="0"/>
          <w:pgNumType/>
          <w:cols w:space="340" w:num="2"/>
          <w:docGrid w:linePitch="360"/>
        </w:sectPr>
      </w:pPr>
    </w:p>
    <w:p>
      <w:pPr>
        <w:spacing w:after="0" w:before="160"/>
        <w:jc w:val="center"/>
      </w:pPr>
      <w:r>
        <w:drawing>
          <wp:inline distT="0" distB="0" distL="0" distR="0">
            <wp:extent cx="5715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686175"/>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16"/>
          <w:szCs w:val="16"/>
        </w:rPr>
        <w:t xml:space="preserve">Fig. 1. System architecture. The orchestration layer is a directed graph; the retry edge returns to retrieval with a broadened query at most twice.</w:t>
      </w:r>
    </w:p>
    <w:p>
      <w:pPr>
        <w:sectPr>
          <w:type w:val="continuous"/>
          <w:pgSz w:w="11906" w:h="16838" w:orient="portrait"/>
          <w:pgMar w:top="1134" w:right="1134" w:bottom="1134" w:left="1134" w:header="708" w:footer="708" w:gutter="0"/>
          <w:pgNumType/>
          <w:docGrid w:linePitch="360"/>
        </w:sectPr>
      </w:pPr>
    </w:p>
    <w:p>
      <w:pPr>
        <w:spacing w:after="120" w:line="276"/>
        <w:jc w:val="both"/>
      </w:pPr>
      <w:r>
        <w:rPr>
          <w:rFonts w:ascii="Times New Roman" w:cs="Times New Roman" w:eastAsia="Times New Roman" w:hAnsi="Times New Roman"/>
          <w:sz w:val="20"/>
          <w:szCs w:val="20"/>
        </w:rPr>
        <w:t xml:space="preserve">Isolation between cases is structural rather than advisory. Police and advocate case evidence live in separate collections, and every query against them carries a filter on the case identifier, which is validated against the ownership of the requesting user before the query is issued. A request for a case the user does not own is answered as if the case did not exist, so that the response does not reveal its existence.</w:t>
      </w:r>
    </w:p>
    <w:p>
      <w:pPr>
        <w:spacing w:after="120" w:line="276"/>
        <w:jc w:val="both"/>
      </w:pPr>
      <w:r>
        <w:rPr>
          <w:rFonts w:ascii="Times New Roman" w:cs="Times New Roman" w:eastAsia="Times New Roman" w:hAnsi="Times New Roman"/>
          <w:sz w:val="20"/>
          <w:szCs w:val="20"/>
        </w:rPr>
        <w:t xml:space="preserve">Figure 2 shows the verification stage in detail, which is the part of the architecture that carries the central claim of this work.</w:t>
      </w:r>
    </w:p>
    <w:p>
      <w:pPr>
        <w:sectPr>
          <w:type w:val="continuous"/>
          <w:pgSz w:w="11906" w:h="16838" w:orient="portrait"/>
          <w:pgMar w:top="1134" w:right="1134" w:bottom="1134" w:left="1134" w:header="708" w:footer="708" w:gutter="0"/>
          <w:pgNumType/>
          <w:cols w:space="340" w:num="2"/>
          <w:docGrid w:linePitch="360"/>
        </w:sectPr>
      </w:pPr>
    </w:p>
    <w:p>
      <w:pPr>
        <w:spacing w:after="0" w:before="160"/>
        <w:jc w:val="center"/>
      </w:pPr>
      <w:r>
        <w:drawing>
          <wp:inline distT="0" distB="0" distL="0" distR="0">
            <wp:extent cx="5715000" cy="2762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62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16"/>
          <w:szCs w:val="16"/>
        </w:rPr>
        <w:t xml:space="preserve">Fig. 2. Claim-level verification. Grounding is decided by set membership of passage identifiers, not by the model judging its own output.</w:t>
      </w:r>
    </w:p>
    <w:p>
      <w:pPr>
        <w:sectPr>
          <w:type w:val="continuous"/>
          <w:pgSz w:w="11906" w:h="16838" w:orient="portrait"/>
          <w:pgMar w:top="1134" w:right="1134" w:bottom="1134" w:left="1134" w:header="708" w:footer="708" w:gutter="0"/>
          <w:pgNumType/>
          <w:docGrid w:linePitch="360"/>
        </w:sectPr>
      </w:pPr>
    </w:p>
    <w:p>
      <w:pPr>
        <w:pStyle w:val="Heading1"/>
        <w:spacing w:after="120" w:before="300"/>
      </w:pPr>
      <w:r>
        <w:rPr>
          <w:rFonts w:ascii="Times New Roman" w:cs="Times New Roman" w:eastAsia="Times New Roman" w:hAnsi="Times New Roman"/>
          <w:b/>
          <w:bCs/>
          <w:color w:val="000000"/>
          <w:sz w:val="26"/>
          <w:szCs w:val="26"/>
        </w:rPr>
        <w:t xml:space="preserve">7. Dataset</w:t>
      </w:r>
    </w:p>
    <w:p>
      <w:pPr>
        <w:spacing w:after="120" w:line="276"/>
        <w:jc w:val="both"/>
      </w:pPr>
      <w:r>
        <w:rPr>
          <w:rFonts w:ascii="Times New Roman" w:cs="Times New Roman" w:eastAsia="Times New Roman" w:hAnsi="Times New Roman"/>
          <w:sz w:val="20"/>
          <w:szCs w:val="20"/>
        </w:rPr>
        <w:t xml:space="preserve">The corpus consists of 419 physical documents obtained from official publishers, which reduce to 381 canonical documents after duplicates are removed by content hash. Segmentation produces 25,323 indexed passages. The material is predominantly central rather than state law, and entirely in English at present.</w:t>
      </w:r>
    </w:p>
    <w:p>
      <w:pPr>
        <w:spacing w:after="80" w:before="200"/>
        <w:jc w:val="left"/>
      </w:pPr>
      <w:r>
        <w:rPr>
          <w:rFonts w:ascii="Times New Roman" w:cs="Times New Roman" w:eastAsia="Times New Roman" w:hAnsi="Times New Roman"/>
          <w:b/>
          <w:bCs/>
          <w:sz w:val="16"/>
          <w:szCs w:val="16"/>
        </w:rPr>
        <w:t xml:space="preserve">Table I. Composition of the indexed corpus.</w:t>
      </w:r>
    </w:p>
    <w:tbl>
      <w:tblPr>
        <w:tblW w:type="dxa" w:w="9000"/>
        <w:tblBorders>
          <w:top w:val="single" w:color="888888" w:sz="4"/>
          <w:left w:val="single" w:color="888888" w:sz="4"/>
          <w:bottom w:val="single" w:color="888888" w:sz="4"/>
          <w:right w:val="single" w:color="888888" w:sz="4"/>
          <w:insideH w:val="single" w:color="888888" w:sz="4"/>
          <w:insideV w:val="single" w:color="888888" w:sz="4"/>
        </w:tblBorders>
      </w:tblPr>
      <w:tblGrid>
        <w:gridCol w:w="4600"/>
        <w:gridCol w:w="4400"/>
      </w:tblGrid>
      <w:tr>
        <w:trPr>
          <w:tblHeader/>
        </w:trPr>
        <w:tc>
          <w:tcPr>
            <w:tcW w:type="dxa" w:w="4600"/>
            <w:shd w:fill="EDF1EE"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6"/>
                <w:szCs w:val="16"/>
              </w:rPr>
              <w:t xml:space="preserve">Property</w:t>
            </w:r>
          </w:p>
        </w:tc>
        <w:tc>
          <w:tcPr>
            <w:tcW w:type="dxa" w:w="4400"/>
            <w:shd w:fill="EDF1EE"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6"/>
                <w:szCs w:val="16"/>
              </w:rPr>
              <w:t xml:space="preserve">Value</w:t>
            </w:r>
          </w:p>
        </w:tc>
      </w:tr>
      <w:tr>
        <w:trPr>
          <w:tblHeader w:val="off"/>
        </w:trPr>
        <w:tc>
          <w:tcPr>
            <w:tcW w:type="dxa" w:w="4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Physical documents acquired</w:t>
            </w:r>
          </w:p>
        </w:tc>
        <w:tc>
          <w:tcPr>
            <w:tcW w:type="dxa" w:w="4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419</w:t>
            </w:r>
          </w:p>
        </w:tc>
      </w:tr>
      <w:tr>
        <w:trPr>
          <w:tblHeader w:val="off"/>
        </w:trPr>
        <w:tc>
          <w:tcPr>
            <w:tcW w:type="dxa" w:w="4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Canonical documents after de-duplication</w:t>
            </w:r>
          </w:p>
        </w:tc>
        <w:tc>
          <w:tcPr>
            <w:tcW w:type="dxa" w:w="4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381</w:t>
            </w:r>
          </w:p>
        </w:tc>
      </w:tr>
      <w:tr>
        <w:trPr>
          <w:tblHeader w:val="off"/>
        </w:trPr>
        <w:tc>
          <w:tcPr>
            <w:tcW w:type="dxa" w:w="4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Indexed passages</w:t>
            </w:r>
          </w:p>
        </w:tc>
        <w:tc>
          <w:tcPr>
            <w:tcW w:type="dxa" w:w="4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25,323</w:t>
            </w:r>
          </w:p>
        </w:tc>
      </w:tr>
      <w:tr>
        <w:trPr>
          <w:tblHeader w:val="off"/>
        </w:trPr>
        <w:tc>
          <w:tcPr>
            <w:tcW w:type="dxa" w:w="4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Central jurisdiction material</w:t>
            </w:r>
          </w:p>
        </w:tc>
        <w:tc>
          <w:tcPr>
            <w:tcW w:type="dxa" w:w="4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approximately 96 percent</w:t>
            </w:r>
          </w:p>
        </w:tc>
      </w:tr>
      <w:tr>
        <w:trPr>
          <w:tblHeader w:val="off"/>
        </w:trPr>
        <w:tc>
          <w:tcPr>
            <w:tcW w:type="dxa" w:w="4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Language</w:t>
            </w:r>
          </w:p>
        </w:tc>
        <w:tc>
          <w:tcPr>
            <w:tcW w:type="dxa" w:w="4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English</w:t>
            </w:r>
          </w:p>
        </w:tc>
      </w:tr>
      <w:tr>
        <w:trPr>
          <w:tblHeader w:val="off"/>
        </w:trPr>
        <w:tc>
          <w:tcPr>
            <w:tcW w:type="dxa" w:w="4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Vector dimensions (dense)</w:t>
            </w:r>
          </w:p>
        </w:tc>
        <w:tc>
          <w:tcPr>
            <w:tcW w:type="dxa" w:w="4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1,024</w:t>
            </w:r>
          </w:p>
        </w:tc>
      </w:tr>
      <w:tr>
        <w:trPr>
          <w:tblHeader w:val="off"/>
        </w:trPr>
        <w:tc>
          <w:tcPr>
            <w:tcW w:type="dxa" w:w="4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Maximum passage length</w:t>
            </w:r>
          </w:p>
        </w:tc>
        <w:tc>
          <w:tcPr>
            <w:tcW w:type="dxa" w:w="4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8,192 tokens</w:t>
            </w:r>
          </w:p>
        </w:tc>
      </w:tr>
    </w:tbl>
    <w:p>
      <w:pPr>
        <w:spacing w:after="120" w:line="276"/>
        <w:jc w:val="both"/>
      </w:pPr>
      <w:r>
        <w:rPr>
          <w:rFonts w:ascii="Times New Roman" w:cs="Times New Roman" w:eastAsia="Times New Roman" w:hAnsi="Times New Roman"/>
          <w:sz w:val="20"/>
          <w:szCs w:val="20"/>
        </w:rPr>
        <w:t xml:space="preserve">The composition of the corpus turned out to be a finding in itself. Because the new Sanhitas are recent and the codes they replaced have two centuries of commentary between them, the corpus holds far more repealed law than law in force, as Figure 3 shows. There are 1,185 indexed passages from the three codes now in force against 2,983 from the three they replaced. Retrieval therefore meets the old law first on almost any statutory question, which is a property of the collection and cannot be corrected by ranking alone.</w:t>
      </w:r>
    </w:p>
    <w:p>
      <w:pPr>
        <w:sectPr>
          <w:type w:val="continuous"/>
          <w:pgSz w:w="11906" w:h="16838" w:orient="portrait"/>
          <w:pgMar w:top="1134" w:right="1134" w:bottom="1134" w:left="1134" w:header="708" w:footer="708" w:gutter="0"/>
          <w:pgNumType/>
          <w:cols w:space="340" w:num="2"/>
          <w:docGrid w:linePitch="360"/>
        </w:sectPr>
      </w:pPr>
    </w:p>
    <w:p>
      <w:pPr>
        <w:spacing w:after="0" w:before="160"/>
        <w:jc w:val="center"/>
      </w:pPr>
      <w:r>
        <w:drawing>
          <wp:inline distT="0" distB="0" distL="0" distR="0">
            <wp:extent cx="5715000" cy="26765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76525"/>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16"/>
          <w:szCs w:val="16"/>
        </w:rPr>
        <w:t xml:space="preserve">Fig. 3. Indexed passages from the codes in force against those from the codes they replaced.</w:t>
      </w:r>
    </w:p>
    <w:p>
      <w:pPr>
        <w:sectPr>
          <w:type w:val="continuous"/>
          <w:pgSz w:w="11906" w:h="16838" w:orient="portrait"/>
          <w:pgMar w:top="1134" w:right="1134" w:bottom="1134" w:left="1134" w:header="708" w:footer="708" w:gutter="0"/>
          <w:pgNumType/>
          <w:docGrid w:linePitch="360"/>
        </w:sectPr>
      </w:pPr>
    </w:p>
    <w:p>
      <w:pPr>
        <w:spacing w:after="120" w:line="276"/>
        <w:jc w:val="both"/>
      </w:pPr>
      <w:r>
        <w:rPr>
          <w:rFonts w:ascii="Times New Roman" w:cs="Times New Roman" w:eastAsia="Times New Roman" w:hAnsi="Times New Roman"/>
          <w:sz w:val="20"/>
          <w:szCs w:val="20"/>
        </w:rPr>
        <w:t xml:space="preserve">Evaluation uses three question sets. The primary set contains 61 questions with recorded relevance judgements, distributed across the three user roles: 29 citizen questions, 25 police questions and 7 advocate questions. A second set of 8 questions pairs a question with the provision that actually governs it, read from the Act rather than taken from system output, and is used to measure reachability. A third set of 8 questions asks for the same provisions in the vocabulary an ordinary user would use, and is held out: it is reported separately and is never used while tuning.</w:t>
      </w:r>
    </w:p>
    <w:p>
      <w:pPr>
        <w:spacing w:after="120" w:line="276"/>
        <w:jc w:val="both"/>
      </w:pPr>
      <w:r>
        <w:rPr>
          <w:rFonts w:ascii="Times New Roman" w:cs="Times New Roman" w:eastAsia="Times New Roman" w:hAnsi="Times New Roman"/>
          <w:sz w:val="20"/>
          <w:szCs w:val="20"/>
        </w:rPr>
        <w:t xml:space="preserve">No train and test division applies to this work. Neither the encoder nor the generator is trained or fine-tuned on this corpus; both are used as published, and the corpus serves only as the retrieval collection. The question sets are therefore evaluation instruments, not training data.</w:t>
      </w:r>
    </w:p>
    <w:p>
      <w:pPr>
        <w:pStyle w:val="Heading1"/>
        <w:spacing w:after="120" w:before="300"/>
      </w:pPr>
      <w:r>
        <w:rPr>
          <w:rFonts w:ascii="Times New Roman" w:cs="Times New Roman" w:eastAsia="Times New Roman" w:hAnsi="Times New Roman"/>
          <w:b/>
          <w:bCs/>
          <w:color w:val="000000"/>
          <w:sz w:val="26"/>
          <w:szCs w:val="26"/>
        </w:rPr>
        <w:t xml:space="preserve">8. Implementation</w:t>
      </w:r>
    </w:p>
    <w:p>
      <w:pPr>
        <w:spacing w:after="120" w:line="276"/>
        <w:jc w:val="both"/>
      </w:pPr>
      <w:r>
        <w:rPr>
          <w:rFonts w:ascii="Times New Roman" w:cs="Times New Roman" w:eastAsia="Times New Roman" w:hAnsi="Times New Roman"/>
          <w:sz w:val="20"/>
          <w:szCs w:val="20"/>
        </w:rPr>
        <w:t xml:space="preserve">The backend is written in Python 3.12.14 on FastAPI 0.141.1, with the agent pipeline expressed as a directed graph in LangGraph 1.2.11. Passage and query encoding use the BGE-M3 model through FlagEmbedding 1.4.0 on PyTorch 2.7.1, with dense and sparse vectors stored together in Qdrant 1.18.2. Application data is held in PostgreSQL 16.13 accessed through SQLAlchemy 2.0.52, with schema migrations managed by Alembic 1.19.1; uploaded case files are stored in MinIO. Generation is served locally by Ollama running a quantized 14-billion-parameter instruction model with a 16,384-token context, at temperature zero with greedy decoding so that repeated measurements are comparable. The user interface is a Next.js 14.2.35 application in React 18.3.1. All services are orchestrated with Docker Compose.</w:t>
      </w:r>
    </w:p>
    <w:p>
      <w:pPr>
        <w:spacing w:after="80" w:before="200"/>
        <w:jc w:val="left"/>
      </w:pPr>
      <w:r>
        <w:rPr>
          <w:rFonts w:ascii="Times New Roman" w:cs="Times New Roman" w:eastAsia="Times New Roman" w:hAnsi="Times New Roman"/>
          <w:b/>
          <w:bCs/>
          <w:sz w:val="16"/>
          <w:szCs w:val="16"/>
        </w:rPr>
        <w:t xml:space="preserve">Table II. Implementation summary.</w:t>
      </w:r>
    </w:p>
    <w:tbl>
      <w:tblPr>
        <w:tblW w:type="dxa" w:w="9000"/>
        <w:tblBorders>
          <w:top w:val="single" w:color="888888" w:sz="4"/>
          <w:left w:val="single" w:color="888888" w:sz="4"/>
          <w:bottom w:val="single" w:color="888888" w:sz="4"/>
          <w:right w:val="single" w:color="888888" w:sz="4"/>
          <w:insideH w:val="single" w:color="888888" w:sz="4"/>
          <w:insideV w:val="single" w:color="888888" w:sz="4"/>
        </w:tblBorders>
      </w:tblPr>
      <w:tblGrid>
        <w:gridCol w:w="3400"/>
        <w:gridCol w:w="5600"/>
      </w:tblGrid>
      <w:tr>
        <w:trPr>
          <w:tblHeader/>
        </w:trPr>
        <w:tc>
          <w:tcPr>
            <w:tcW w:type="dxa" w:w="3400"/>
            <w:shd w:fill="EDF1EE"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6"/>
                <w:szCs w:val="16"/>
              </w:rPr>
              <w:t xml:space="preserve">Component</w:t>
            </w:r>
          </w:p>
        </w:tc>
        <w:tc>
          <w:tcPr>
            <w:tcW w:type="dxa" w:w="5600"/>
            <w:shd w:fill="EDF1EE"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6"/>
                <w:szCs w:val="16"/>
              </w:rPr>
              <w:t xml:space="preserve">Technology</w:t>
            </w:r>
          </w:p>
        </w:tc>
      </w:tr>
      <w:tr>
        <w:trPr>
          <w:tblHeader w:val="off"/>
        </w:trP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Application framework</w:t>
            </w:r>
          </w:p>
        </w:tc>
        <w:tc>
          <w:tcPr>
            <w:tcW w:type="dxa" w:w="5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FastAPI 0.141.1, Python 3.12.14</w:t>
            </w:r>
          </w:p>
        </w:tc>
      </w:tr>
      <w:tr>
        <w:trPr>
          <w:tblHeader w:val="off"/>
        </w:trP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Agent orchestration</w:t>
            </w:r>
          </w:p>
        </w:tc>
        <w:tc>
          <w:tcPr>
            <w:tcW w:type="dxa" w:w="5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LangGraph 1.2.11</w:t>
            </w:r>
          </w:p>
        </w:tc>
      </w:tr>
      <w:tr>
        <w:trPr>
          <w:tblHeader w:val="off"/>
        </w:trP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Embedding model</w:t>
            </w:r>
          </w:p>
        </w:tc>
        <w:tc>
          <w:tcPr>
            <w:tcW w:type="dxa" w:w="5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BAAI BGE-M3, dense 1024-d and sparse</w:t>
            </w:r>
          </w:p>
        </w:tc>
      </w:tr>
      <w:tr>
        <w:trPr>
          <w:tblHeader w:val="off"/>
        </w:trP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Vector database</w:t>
            </w:r>
          </w:p>
        </w:tc>
        <w:tc>
          <w:tcPr>
            <w:tcW w:type="dxa" w:w="5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Qdrant 1.18.2, server-side reciprocal rank fusion</w:t>
            </w:r>
          </w:p>
        </w:tc>
      </w:tr>
      <w:tr>
        <w:trPr>
          <w:tblHeader w:val="off"/>
        </w:trP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Relational database</w:t>
            </w:r>
          </w:p>
        </w:tc>
        <w:tc>
          <w:tcPr>
            <w:tcW w:type="dxa" w:w="5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PostgreSQL 16.13 with SQLAlchemy 2.0.52</w:t>
            </w:r>
          </w:p>
        </w:tc>
      </w:tr>
      <w:tr>
        <w:trPr>
          <w:tblHeader w:val="off"/>
        </w:trP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Object storage</w:t>
            </w:r>
          </w:p>
        </w:tc>
        <w:tc>
          <w:tcPr>
            <w:tcW w:type="dxa" w:w="5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MinIO</w:t>
            </w:r>
          </w:p>
        </w:tc>
      </w:tr>
      <w:tr>
        <w:trPr>
          <w:tblHeader w:val="off"/>
        </w:trP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Generation</w:t>
            </w:r>
          </w:p>
        </w:tc>
        <w:tc>
          <w:tcPr>
            <w:tcW w:type="dxa" w:w="5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Ollama, 14B instruction model, temperature 0</w:t>
            </w:r>
          </w:p>
        </w:tc>
      </w:tr>
      <w:tr>
        <w:trPr>
          <w:tblHeader w:val="off"/>
        </w:trP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Frontend</w:t>
            </w:r>
          </w:p>
        </w:tc>
        <w:tc>
          <w:tcPr>
            <w:tcW w:type="dxa" w:w="5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Next.js 14.2.35, React 18.3.1</w:t>
            </w:r>
          </w:p>
        </w:tc>
      </w:tr>
      <w:tr>
        <w:trPr>
          <w:tblHeader w:val="off"/>
        </w:trP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Deployment</w:t>
            </w:r>
          </w:p>
        </w:tc>
        <w:tc>
          <w:tcPr>
            <w:tcW w:type="dxa" w:w="5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Docker Compose</w:t>
            </w:r>
          </w:p>
        </w:tc>
      </w:tr>
    </w:tbl>
    <w:p>
      <w:pPr>
        <w:spacing w:after="120" w:line="276"/>
        <w:jc w:val="both"/>
      </w:pPr>
      <w:r>
        <w:rPr>
          <w:rFonts w:ascii="Times New Roman" w:cs="Times New Roman" w:eastAsia="Times New Roman" w:hAnsi="Times New Roman"/>
          <w:sz w:val="20"/>
          <w:szCs w:val="20"/>
        </w:rPr>
        <w:t xml:space="preserve">The implementation is covered by an automated test suite of 1,044 tests, which includes a red-team suite that attempts cross-tenant access against every case-scoped route. Tests that protect a security or grounding property are themselves verified by mutation: the protection is removed deliberately and the suite must fail. This practice found several tests that passed while the property they claimed to protect was absent.</w:t>
      </w:r>
    </w:p>
    <w:p>
      <w:pPr>
        <w:pStyle w:val="Heading1"/>
        <w:spacing w:after="120" w:before="300"/>
      </w:pPr>
      <w:r>
        <w:rPr>
          <w:rFonts w:ascii="Times New Roman" w:cs="Times New Roman" w:eastAsia="Times New Roman" w:hAnsi="Times New Roman"/>
          <w:b/>
          <w:bCs/>
          <w:color w:val="000000"/>
          <w:sz w:val="26"/>
          <w:szCs w:val="26"/>
        </w:rPr>
        <w:t xml:space="preserve">9. Experimental Setup</w:t>
      </w:r>
    </w:p>
    <w:p>
      <w:pPr>
        <w:spacing w:after="120" w:line="276"/>
        <w:jc w:val="both"/>
      </w:pPr>
      <w:r>
        <w:rPr>
          <w:rFonts w:ascii="Times New Roman" w:cs="Times New Roman" w:eastAsia="Times New Roman" w:hAnsi="Times New Roman"/>
          <w:sz w:val="20"/>
          <w:szCs w:val="20"/>
        </w:rPr>
        <w:t xml:space="preserve">All measurements reported here were taken on a single workstation: an Apple M5 Pro with 24 GB of unified memory running macOS 27.0. Retrieval, generation and the data stores share that machine, so the latency figures describe a single-host deployment and not a served production environment.</w:t>
      </w:r>
    </w:p>
    <w:p>
      <w:pPr>
        <w:spacing w:after="120" w:line="276"/>
        <w:jc w:val="both"/>
      </w:pPr>
      <w:r>
        <w:rPr>
          <w:rFonts w:ascii="Times New Roman" w:cs="Times New Roman" w:eastAsia="Times New Roman" w:hAnsi="Times New Roman"/>
          <w:sz w:val="20"/>
          <w:szCs w:val="20"/>
        </w:rPr>
        <w:t xml:space="preserve">Generation ran at temperature zero with greedy decoding and no fixed random seed, the seed being unnecessary because decoding is deterministic. Each measurement run records the collection name, the embedding model, the generation model, the decoding settings and a hash of every prompt template in use, so that a result can be attributed to an exact configuration. Two measurement dates appear below because the retrieval and answer evaluations were run at different points in the project; each table states its own date and the configuration it describes.</w:t>
      </w:r>
    </w:p>
    <w:p>
      <w:pPr>
        <w:spacing w:after="120" w:line="276"/>
        <w:jc w:val="both"/>
      </w:pPr>
      <w:r>
        <w:rPr>
          <w:rFonts w:ascii="Times New Roman" w:cs="Times New Roman" w:eastAsia="Times New Roman" w:hAnsi="Times New Roman"/>
          <w:sz w:val="20"/>
          <w:szCs w:val="20"/>
        </w:rPr>
        <w:t xml:space="preserve">The retrieval evaluation encodes each of the 61 questions, retrieves against the deployed index and scores the ranking against recorded relevance judgements. The answer evaluation runs the full pipeline for every question, records the published answer with its claims and citations, and scores grounding, currency, abstention and readability. The reachability evaluation is cheap by design, requiring embeddings but no generation, so that it can be run beside the others rather than instead of them.</w:t>
      </w:r>
    </w:p>
    <w:p>
      <w:pPr>
        <w:pStyle w:val="Heading1"/>
        <w:spacing w:after="120" w:before="300"/>
      </w:pPr>
      <w:r>
        <w:rPr>
          <w:rFonts w:ascii="Times New Roman" w:cs="Times New Roman" w:eastAsia="Times New Roman" w:hAnsi="Times New Roman"/>
          <w:b/>
          <w:bCs/>
          <w:color w:val="000000"/>
          <w:sz w:val="26"/>
          <w:szCs w:val="26"/>
        </w:rPr>
        <w:t xml:space="preserve">10. Results</w:t>
      </w:r>
    </w:p>
    <w:p>
      <w:pPr>
        <w:pStyle w:val="Heading2"/>
        <w:spacing w:after="120" w:before="220"/>
      </w:pPr>
      <w:r>
        <w:rPr>
          <w:rFonts w:ascii="Times New Roman" w:cs="Times New Roman" w:eastAsia="Times New Roman" w:hAnsi="Times New Roman"/>
          <w:b/>
          <w:bCs/>
          <w:color w:val="000000"/>
          <w:sz w:val="23"/>
          <w:szCs w:val="23"/>
        </w:rPr>
        <w:t xml:space="preserve">10.1 Retrieval</w:t>
      </w:r>
    </w:p>
    <w:p>
      <w:pPr>
        <w:spacing w:after="120" w:line="276"/>
        <w:jc w:val="both"/>
      </w:pPr>
      <w:r>
        <w:rPr>
          <w:rFonts w:ascii="Times New Roman" w:cs="Times New Roman" w:eastAsia="Times New Roman" w:hAnsi="Times New Roman"/>
          <w:sz w:val="20"/>
          <w:szCs w:val="20"/>
        </w:rPr>
        <w:t xml:space="preserve">Table III reports retrieval quality over the 61-question set against the deployed index, measured on 10 September 2026.</w:t>
      </w:r>
    </w:p>
    <w:p>
      <w:pPr>
        <w:spacing w:after="80" w:before="200"/>
        <w:jc w:val="left"/>
      </w:pPr>
      <w:r>
        <w:rPr>
          <w:rFonts w:ascii="Times New Roman" w:cs="Times New Roman" w:eastAsia="Times New Roman" w:hAnsi="Times New Roman"/>
          <w:b/>
          <w:bCs/>
          <w:sz w:val="16"/>
          <w:szCs w:val="16"/>
        </w:rPr>
        <w:t xml:space="preserve">Table III. Retrieval performance, 61 questions, deployed index.</w:t>
      </w:r>
    </w:p>
    <w:tbl>
      <w:tblPr>
        <w:tblW w:type="dxa" w:w="9000"/>
        <w:tblBorders>
          <w:top w:val="single" w:color="888888" w:sz="4"/>
          <w:left w:val="single" w:color="888888" w:sz="4"/>
          <w:bottom w:val="single" w:color="888888" w:sz="4"/>
          <w:right w:val="single" w:color="888888" w:sz="4"/>
          <w:insideH w:val="single" w:color="888888" w:sz="4"/>
          <w:insideV w:val="single" w:color="888888" w:sz="4"/>
        </w:tblBorders>
      </w:tblPr>
      <w:tblGrid>
        <w:gridCol w:w="5200"/>
        <w:gridCol w:w="3800"/>
      </w:tblGrid>
      <w:tr>
        <w:trPr>
          <w:tblHeader/>
        </w:trPr>
        <w:tc>
          <w:tcPr>
            <w:tcW w:type="dxa" w:w="5200"/>
            <w:shd w:fill="EDF1EE"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6"/>
                <w:szCs w:val="16"/>
              </w:rPr>
              <w:t xml:space="preserve">Metric</w:t>
            </w:r>
          </w:p>
        </w:tc>
        <w:tc>
          <w:tcPr>
            <w:tcW w:type="dxa" w:w="3800"/>
            <w:shd w:fill="EDF1EE"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6"/>
                <w:szCs w:val="16"/>
              </w:rPr>
              <w:t xml:space="preserve">Value</w:t>
            </w:r>
          </w:p>
        </w:tc>
      </w:tr>
      <w:tr>
        <w:trPr>
          <w:tblHeader w:val="off"/>
        </w:trPr>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Recall@1</w:t>
            </w:r>
          </w:p>
        </w:tc>
        <w:tc>
          <w:tcPr>
            <w:tcW w:type="dxa" w:w="38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0.618</w:t>
            </w:r>
          </w:p>
        </w:tc>
      </w:tr>
      <w:tr>
        <w:trPr>
          <w:tblHeader w:val="off"/>
        </w:trPr>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Recall@5</w:t>
            </w:r>
          </w:p>
        </w:tc>
        <w:tc>
          <w:tcPr>
            <w:tcW w:type="dxa" w:w="38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0.927</w:t>
            </w:r>
          </w:p>
        </w:tc>
      </w:tr>
      <w:tr>
        <w:trPr>
          <w:tblHeader w:val="off"/>
        </w:trPr>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Recall@20</w:t>
            </w:r>
          </w:p>
        </w:tc>
        <w:tc>
          <w:tcPr>
            <w:tcW w:type="dxa" w:w="38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0.964</w:t>
            </w:r>
          </w:p>
        </w:tc>
      </w:tr>
      <w:tr>
        <w:trPr>
          <w:tblHeader w:val="off"/>
        </w:trPr>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Mean reciprocal rank</w:t>
            </w:r>
          </w:p>
        </w:tc>
        <w:tc>
          <w:tcPr>
            <w:tcW w:type="dxa" w:w="38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0.736</w:t>
            </w:r>
          </w:p>
        </w:tc>
      </w:tr>
      <w:tr>
        <w:trPr>
          <w:tblHeader w:val="off"/>
        </w:trPr>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nDCG@10</w:t>
            </w:r>
          </w:p>
        </w:tc>
        <w:tc>
          <w:tcPr>
            <w:tcW w:type="dxa" w:w="38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0.781</w:t>
            </w:r>
          </w:p>
        </w:tc>
      </w:tr>
      <w:tr>
        <w:trPr>
          <w:tblHeader w:val="off"/>
        </w:trPr>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Citation accuracy@5</w:t>
            </w:r>
          </w:p>
        </w:tc>
        <w:tc>
          <w:tcPr>
            <w:tcW w:type="dxa" w:w="38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0.624</w:t>
            </w:r>
          </w:p>
        </w:tc>
      </w:tr>
      <w:tr>
        <w:trPr>
          <w:tblHeader w:val="off"/>
        </w:trPr>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Abstention accuracy</w:t>
            </w:r>
          </w:p>
        </w:tc>
        <w:tc>
          <w:tcPr>
            <w:tcW w:type="dxa" w:w="38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0.667</w:t>
            </w:r>
          </w:p>
        </w:tc>
      </w:tr>
      <w:tr>
        <w:trPr>
          <w:tblHeader w:val="off"/>
        </w:trPr>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False abstention rate</w:t>
            </w:r>
          </w:p>
        </w:tc>
        <w:tc>
          <w:tcPr>
            <w:tcW w:type="dxa" w:w="38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0.036</w:t>
            </w:r>
          </w:p>
        </w:tc>
      </w:tr>
      <w:tr>
        <w:trPr>
          <w:tblHeader w:val="off"/>
        </w:trPr>
        <w:tc>
          <w:tcPr>
            <w:tcW w:type="dxa" w:w="52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Mean time per query</w:t>
            </w:r>
          </w:p>
        </w:tc>
        <w:tc>
          <w:tcPr>
            <w:tcW w:type="dxa" w:w="38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0.154 s</w:t>
            </w:r>
          </w:p>
        </w:tc>
      </w:tr>
    </w:tbl>
    <w:p>
      <w:pPr>
        <w:spacing w:after="120" w:line="276"/>
        <w:jc w:val="both"/>
      </w:pPr>
      <w:r>
        <w:rPr>
          <w:rFonts w:ascii="Times New Roman" w:cs="Times New Roman" w:eastAsia="Times New Roman" w:hAnsi="Times New Roman"/>
          <w:sz w:val="20"/>
          <w:szCs w:val="20"/>
        </w:rPr>
        <w:t xml:space="preserve">Recall is strong and the ranking is reasonable, but citation accuracy is well below the level the system should reach, and the gap between recall@5 and citation accuracy is the most useful number in the table. It says that the relevant material is usually retrieved and that the four passages finally shown to the reader are often not the best four available. Figure 4 breaks the two measures down by role.</w:t>
      </w:r>
    </w:p>
    <w:p>
      <w:pPr>
        <w:sectPr>
          <w:type w:val="continuous"/>
          <w:pgSz w:w="11906" w:h="16838" w:orient="portrait"/>
          <w:pgMar w:top="1134" w:right="1134" w:bottom="1134" w:left="1134" w:header="708" w:footer="708" w:gutter="0"/>
          <w:pgNumType/>
          <w:cols w:space="340" w:num="2"/>
          <w:docGrid w:linePitch="360"/>
        </w:sectPr>
      </w:pPr>
    </w:p>
    <w:p>
      <w:pPr>
        <w:spacing w:after="0" w:before="160"/>
        <w:jc w:val="center"/>
      </w:pPr>
      <w:r>
        <w:drawing>
          <wp:inline distT="0" distB="0" distL="0" distR="0">
            <wp:extent cx="5715000" cy="2762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62250"/>
                    </a:xfrm>
                    <a:prstGeom prst="rect">
                      <a:avLst/>
                    </a:prstGeom>
                  </pic:spPr>
                </pic:pic>
              </a:graphicData>
            </a:graphic>
          </wp:inline>
        </w:drawing>
      </w:r>
    </w:p>
    <w:p>
      <w:pPr>
        <w:spacing w:after="220" w:before="80"/>
        <w:jc w:val="center"/>
      </w:pPr>
      <w:r>
        <w:rPr>
          <w:rFonts w:ascii="Times New Roman" w:cs="Times New Roman" w:eastAsia="Times New Roman" w:hAnsi="Times New Roman"/>
          <w:i/>
          <w:iCs/>
          <w:sz w:val="16"/>
          <w:szCs w:val="16"/>
        </w:rPr>
        <w:t xml:space="preserve">Fig. 4. Retrieval quality by role. The advocate figure rests on only seven questions and should be read as indicative.</w:t>
      </w:r>
    </w:p>
    <w:p>
      <w:pPr>
        <w:sectPr>
          <w:type w:val="continuous"/>
          <w:pgSz w:w="11906" w:h="16838" w:orient="portrait"/>
          <w:pgMar w:top="1134" w:right="1134" w:bottom="1134" w:left="1134" w:header="708" w:footer="708" w:gutter="0"/>
          <w:pgNumType/>
          <w:docGrid w:linePitch="360"/>
        </w:sectPr>
      </w:pPr>
    </w:p>
    <w:p>
      <w:pPr>
        <w:spacing w:after="120" w:line="276"/>
        <w:jc w:val="both"/>
      </w:pPr>
      <w:r>
        <w:rPr>
          <w:rFonts w:ascii="Times New Roman" w:cs="Times New Roman" w:eastAsia="Times New Roman" w:hAnsi="Times New Roman"/>
          <w:sz w:val="20"/>
          <w:szCs w:val="20"/>
        </w:rPr>
        <w:t xml:space="preserve">Citizen and police questions are retrieved well. The advocate result is weaker, but that set contains only seven questions and the interval around it is correspondingly wide; expanding it is the most immediate task in our evaluation work. Citation accuracy is lowest for police questions, which we attribute to procedural questions drawing many passages that are topically adjacent, so that the ranking has more opportunities to prefer a passage that discusses the subject over the provision that governs it.</w:t>
      </w:r>
    </w:p>
    <w:p>
      <w:pPr>
        <w:pStyle w:val="Heading2"/>
        <w:spacing w:after="120" w:before="220"/>
      </w:pPr>
      <w:r>
        <w:rPr>
          <w:rFonts w:ascii="Times New Roman" w:cs="Times New Roman" w:eastAsia="Times New Roman" w:hAnsi="Times New Roman"/>
          <w:b/>
          <w:bCs/>
          <w:color w:val="000000"/>
          <w:sz w:val="23"/>
          <w:szCs w:val="23"/>
        </w:rPr>
        <w:t xml:space="preserve">10.2 Answer quality</w:t>
      </w:r>
    </w:p>
    <w:p>
      <w:pPr>
        <w:spacing w:after="120" w:line="276"/>
        <w:jc w:val="both"/>
      </w:pPr>
      <w:r>
        <w:rPr>
          <w:rFonts w:ascii="Times New Roman" w:cs="Times New Roman" w:eastAsia="Times New Roman" w:hAnsi="Times New Roman"/>
          <w:sz w:val="20"/>
          <w:szCs w:val="20"/>
        </w:rPr>
        <w:t xml:space="preserve">Table IV reports the full-pipeline evaluation over the same 61 questions, measured on 6 September 2026.</w:t>
      </w:r>
    </w:p>
    <w:p>
      <w:pPr>
        <w:spacing w:after="80" w:before="200"/>
        <w:jc w:val="left"/>
      </w:pPr>
      <w:r>
        <w:rPr>
          <w:rFonts w:ascii="Times New Roman" w:cs="Times New Roman" w:eastAsia="Times New Roman" w:hAnsi="Times New Roman"/>
          <w:b/>
          <w:bCs/>
          <w:sz w:val="16"/>
          <w:szCs w:val="16"/>
        </w:rPr>
        <w:t xml:space="preserve">Table IV. Answer quality, 61 questions, full pipeline.</w:t>
      </w:r>
    </w:p>
    <w:tbl>
      <w:tblPr>
        <w:tblW w:type="dxa" w:w="9000"/>
        <w:tblBorders>
          <w:top w:val="single" w:color="888888" w:sz="4"/>
          <w:left w:val="single" w:color="888888" w:sz="4"/>
          <w:bottom w:val="single" w:color="888888" w:sz="4"/>
          <w:right w:val="single" w:color="888888" w:sz="4"/>
          <w:insideH w:val="single" w:color="888888" w:sz="4"/>
          <w:insideV w:val="single" w:color="888888" w:sz="4"/>
        </w:tblBorders>
      </w:tblPr>
      <w:tblGrid>
        <w:gridCol w:w="2900"/>
        <w:gridCol w:w="1600"/>
        <w:gridCol w:w="1500"/>
        <w:gridCol w:w="1500"/>
        <w:gridCol w:w="1500"/>
      </w:tblGrid>
      <w:tr>
        <w:trPr>
          <w:tblHeader/>
        </w:trPr>
        <w:tc>
          <w:tcPr>
            <w:tcW w:type="dxa" w:w="2900"/>
            <w:shd w:fill="EDF1EE"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6"/>
                <w:szCs w:val="16"/>
              </w:rPr>
              <w:t xml:space="preserve">Metric</w:t>
            </w:r>
          </w:p>
        </w:tc>
        <w:tc>
          <w:tcPr>
            <w:tcW w:type="dxa" w:w="1600"/>
            <w:shd w:fill="EDF1EE"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6"/>
                <w:szCs w:val="16"/>
              </w:rPr>
              <w:t xml:space="preserve">Overall</w:t>
            </w:r>
          </w:p>
        </w:tc>
        <w:tc>
          <w:tcPr>
            <w:tcW w:type="dxa" w:w="1500"/>
            <w:shd w:fill="EDF1EE"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6"/>
                <w:szCs w:val="16"/>
              </w:rPr>
              <w:t xml:space="preserve">Citizen</w:t>
            </w:r>
          </w:p>
        </w:tc>
        <w:tc>
          <w:tcPr>
            <w:tcW w:type="dxa" w:w="1500"/>
            <w:shd w:fill="EDF1EE"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6"/>
                <w:szCs w:val="16"/>
              </w:rPr>
              <w:t xml:space="preserve">Police</w:t>
            </w:r>
          </w:p>
        </w:tc>
        <w:tc>
          <w:tcPr>
            <w:tcW w:type="dxa" w:w="1500"/>
            <w:shd w:fill="EDF1EE"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6"/>
                <w:szCs w:val="16"/>
              </w:rPr>
              <w:t xml:space="preserve">Advocate</w:t>
            </w:r>
          </w:p>
        </w:tc>
      </w:tr>
      <w:tr>
        <w:trPr>
          <w:tblHeader w:val="off"/>
        </w:trPr>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Questions</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61</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29</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25</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7</w:t>
            </w:r>
          </w:p>
        </w:tc>
      </w:tr>
      <w:tr>
        <w:trPr>
          <w:tblHeader w:val="off"/>
        </w:trPr>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Published claims</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478</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w:t>
            </w:r>
          </w:p>
        </w:tc>
      </w:tr>
      <w:tr>
        <w:trPr>
          <w:tblHeader w:val="off"/>
        </w:trPr>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Unsupported published claims</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w:t>
            </w:r>
          </w:p>
        </w:tc>
      </w:tr>
      <w:tr>
        <w:trPr>
          <w:tblHeader w:val="off"/>
        </w:trPr>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Abstention correctness</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0.885</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0.828</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0.960</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0.857</w:t>
            </w:r>
          </w:p>
        </w:tc>
      </w:tr>
      <w:tr>
        <w:trPr>
          <w:tblHeader w:val="off"/>
        </w:trPr>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Ground coverage</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0.477</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0.512</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0.442</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n/a</w:t>
            </w:r>
          </w:p>
        </w:tc>
      </w:tr>
      <w:tr>
        <w:trPr>
          <w:tblHeader w:val="off"/>
        </w:trPr>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Currency correctness</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0.650</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0.625</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0.556</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1.000</w:t>
            </w:r>
          </w:p>
        </w:tc>
      </w:tr>
      <w:tr>
        <w:trPr>
          <w:tblHeader w:val="off"/>
        </w:trPr>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Reading grade (mean)</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14.4</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14.1</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14.8</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13.8</w:t>
            </w:r>
          </w:p>
        </w:tc>
      </w:tr>
      <w:tr>
        <w:trPr>
          <w:tblHeader w:val="off"/>
        </w:trPr>
        <w:tc>
          <w:tcPr>
            <w:tcW w:type="dxa" w:w="29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Median latency (s)</w:t>
            </w:r>
          </w:p>
        </w:tc>
        <w:tc>
          <w:tcPr>
            <w:tcW w:type="dxa" w:w="16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56.2</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49.9</w:t>
            </w:r>
          </w:p>
        </w:tc>
        <w:tc>
          <w:tcPr>
            <w:tcW w:type="dxa" w:w="15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62.2</w:t>
            </w:r>
          </w:p>
        </w:tc>
      </w:tr>
    </w:tbl>
    <w:p>
      <w:pPr>
        <w:spacing w:after="120" w:line="276"/>
        <w:jc w:val="both"/>
      </w:pPr>
      <w:r>
        <w:rPr>
          <w:rFonts w:ascii="Times New Roman" w:cs="Times New Roman" w:eastAsia="Times New Roman" w:hAnsi="Times New Roman"/>
          <w:sz w:val="20"/>
          <w:szCs w:val="20"/>
        </w:rPr>
        <w:t xml:space="preserve">The result that matters most is the third row. Across 478 claims published over 61 questions, not one was published without a retrieved passage supporting it. This is the property the framework was built to guarantee, and it holds by construction rather than by good fortune: a claim whose citation is not in the retrieved set is removed before the answer is assembled.</w:t>
      </w:r>
    </w:p>
    <w:p>
      <w:pPr>
        <w:spacing w:after="120" w:line="276"/>
        <w:jc w:val="both"/>
      </w:pPr>
      <w:r>
        <w:rPr>
          <w:rFonts w:ascii="Times New Roman" w:cs="Times New Roman" w:eastAsia="Times New Roman" w:hAnsi="Times New Roman"/>
          <w:sz w:val="20"/>
          <w:szCs w:val="20"/>
        </w:rPr>
        <w:t xml:space="preserve">The remaining rows are more sobering and are reported as measured. Ground coverage, the share of the expected substance that a supported answer actually contains, stands at 0.477. Answers are grounded but incomplete: the system says fewer true things than it could. Currency correctness of 0.650 means that roughly one statement in three that should have carried a currency label did not. Reading grade of 14.4 corresponds to an undergraduate reading level, which is not appropriate for the citizen role and is a direct target for future work. Ground coverage was scored on only eight of the questions, which is too few to support a strong claim, and we report it as an indication rather than a measurement.</w:t>
      </w:r>
    </w:p>
    <w:p>
      <w:pPr>
        <w:pStyle w:val="Heading2"/>
        <w:spacing w:after="120" w:before="220"/>
      </w:pPr>
      <w:r>
        <w:rPr>
          <w:rFonts w:ascii="Times New Roman" w:cs="Times New Roman" w:eastAsia="Times New Roman" w:hAnsi="Times New Roman"/>
          <w:b/>
          <w:bCs/>
          <w:color w:val="000000"/>
          <w:sz w:val="23"/>
          <w:szCs w:val="23"/>
        </w:rPr>
        <w:t xml:space="preserve">10.3 Reachability of the governing provision</w:t>
      </w:r>
    </w:p>
    <w:p>
      <w:pPr>
        <w:spacing w:after="120" w:line="276"/>
        <w:jc w:val="both"/>
      </w:pPr>
      <w:r>
        <w:rPr>
          <w:rFonts w:ascii="Times New Roman" w:cs="Times New Roman" w:eastAsia="Times New Roman" w:hAnsi="Times New Roman"/>
          <w:sz w:val="20"/>
          <w:szCs w:val="20"/>
        </w:rPr>
        <w:t xml:space="preserve">Retrieval recall of 0.927 suggested that the retrieval problem was essentially solved. It was not. Relevance predicates mark a passage relevant when it contains the expected phrase, and a judgment quoting a section satisfies that test as fully as the section itself. We therefore built a separate instrument that pairs each question with the provision that governs it, read from the Act, and asks whether that provision appears anywhere in the returned set.</w:t>
      </w:r>
    </w:p>
    <w:p>
      <w:pPr>
        <w:spacing w:after="120" w:line="276"/>
        <w:jc w:val="both"/>
      </w:pPr>
      <w:r>
        <w:rPr>
          <w:rFonts w:ascii="Times New Roman" w:cs="Times New Roman" w:eastAsia="Times New Roman" w:hAnsi="Times New Roman"/>
          <w:sz w:val="20"/>
          <w:szCs w:val="20"/>
        </w:rPr>
        <w:t xml:space="preserve">At the start of this measurement the governing provision was reachable for five of the eight questions, while recall stood at 0.927. Citation following and the concept bridges raised this to eight of eight. On the held-out set, in which the same eight provisions are asked for in the vocabulary an ordinary person would use, the figure is six of eight; the two failures are a question about filing a police complaint, which should reach the provision on registering a first information report, and one about the last words of a dying person, which should reach the provision on dying declarations. These two are recorded and deliberately left unfixed, because the value of a held-out set disappears the moment it is tuned against.</w:t>
      </w:r>
    </w:p>
    <w:p>
      <w:pPr>
        <w:spacing w:after="80" w:before="200"/>
        <w:jc w:val="left"/>
      </w:pPr>
      <w:r>
        <w:rPr>
          <w:rFonts w:ascii="Times New Roman" w:cs="Times New Roman" w:eastAsia="Times New Roman" w:hAnsi="Times New Roman"/>
          <w:b/>
          <w:bCs/>
          <w:sz w:val="16"/>
          <w:szCs w:val="16"/>
        </w:rPr>
        <w:t xml:space="preserve">Table V. Reachability of the governing provision, eight provisions.</w:t>
      </w:r>
    </w:p>
    <w:tbl>
      <w:tblPr>
        <w:tblW w:type="dxa" w:w="9000"/>
        <w:tblBorders>
          <w:top w:val="single" w:color="888888" w:sz="4"/>
          <w:left w:val="single" w:color="888888" w:sz="4"/>
          <w:bottom w:val="single" w:color="888888" w:sz="4"/>
          <w:right w:val="single" w:color="888888" w:sz="4"/>
          <w:insideH w:val="single" w:color="888888" w:sz="4"/>
          <w:insideV w:val="single" w:color="888888" w:sz="4"/>
        </w:tblBorders>
      </w:tblPr>
      <w:tblGrid>
        <w:gridCol w:w="4600"/>
        <w:gridCol w:w="2200"/>
        <w:gridCol w:w="2200"/>
      </w:tblGrid>
      <w:tr>
        <w:trPr>
          <w:tblHeader/>
        </w:trPr>
        <w:tc>
          <w:tcPr>
            <w:tcW w:type="dxa" w:w="4600"/>
            <w:shd w:fill="EDF1EE"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6"/>
                <w:szCs w:val="16"/>
              </w:rPr>
              <w:t xml:space="preserve">Condition</w:t>
            </w:r>
          </w:p>
        </w:tc>
        <w:tc>
          <w:tcPr>
            <w:tcW w:type="dxa" w:w="2200"/>
            <w:shd w:fill="EDF1EE"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6"/>
                <w:szCs w:val="16"/>
              </w:rPr>
              <w:t xml:space="preserve">Reached</w:t>
            </w:r>
          </w:p>
        </w:tc>
        <w:tc>
          <w:tcPr>
            <w:tcW w:type="dxa" w:w="2200"/>
            <w:shd w:fill="EDF1EE"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6"/>
                <w:szCs w:val="16"/>
              </w:rPr>
              <w:t xml:space="preserve">Rate</w:t>
            </w:r>
          </w:p>
        </w:tc>
      </w:tr>
      <w:tr>
        <w:trPr>
          <w:tblHeader w:val="off"/>
        </w:trPr>
        <w:tc>
          <w:tcPr>
            <w:tcW w:type="dxa" w:w="4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Before citation following and bridges</w:t>
            </w:r>
          </w:p>
        </w:tc>
        <w:tc>
          <w:tcPr>
            <w:tcW w:type="dxa" w:w="2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5 of 8</w:t>
            </w:r>
          </w:p>
        </w:tc>
        <w:tc>
          <w:tcPr>
            <w:tcW w:type="dxa" w:w="2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0.625</w:t>
            </w:r>
          </w:p>
        </w:tc>
      </w:tr>
      <w:tr>
        <w:trPr>
          <w:tblHeader w:val="off"/>
        </w:trPr>
        <w:tc>
          <w:tcPr>
            <w:tcW w:type="dxa" w:w="4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After, evaluation wording</w:t>
            </w:r>
          </w:p>
        </w:tc>
        <w:tc>
          <w:tcPr>
            <w:tcW w:type="dxa" w:w="2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8 of 8</w:t>
            </w:r>
          </w:p>
        </w:tc>
        <w:tc>
          <w:tcPr>
            <w:tcW w:type="dxa" w:w="2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1.000</w:t>
            </w:r>
          </w:p>
        </w:tc>
      </w:tr>
      <w:tr>
        <w:trPr>
          <w:tblHeader w:val="off"/>
        </w:trPr>
        <w:tc>
          <w:tcPr>
            <w:tcW w:type="dxa" w:w="46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After, held-out wording</w:t>
            </w:r>
          </w:p>
        </w:tc>
        <w:tc>
          <w:tcPr>
            <w:tcW w:type="dxa" w:w="2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6 of 8</w:t>
            </w:r>
          </w:p>
        </w:tc>
        <w:tc>
          <w:tcPr>
            <w:tcW w:type="dxa" w:w="2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0.750</w:t>
            </w:r>
          </w:p>
        </w:tc>
      </w:tr>
    </w:tbl>
    <w:p>
      <w:pPr>
        <w:pStyle w:val="Heading2"/>
        <w:spacing w:after="120" w:before="220"/>
      </w:pPr>
      <w:r>
        <w:rPr>
          <w:rFonts w:ascii="Times New Roman" w:cs="Times New Roman" w:eastAsia="Times New Roman" w:hAnsi="Times New Roman"/>
          <w:b/>
          <w:bCs/>
          <w:color w:val="000000"/>
          <w:sz w:val="23"/>
          <w:szCs w:val="23"/>
        </w:rPr>
        <w:t xml:space="preserve">10.4 The cost of tuning to test wording</w:t>
      </w:r>
    </w:p>
    <w:p>
      <w:pPr>
        <w:spacing w:after="120" w:line="276"/>
        <w:jc w:val="both"/>
      </w:pPr>
      <w:r>
        <w:rPr>
          <w:rFonts w:ascii="Times New Roman" w:cs="Times New Roman" w:eastAsia="Times New Roman" w:hAnsi="Times New Roman"/>
          <w:sz w:val="20"/>
          <w:szCs w:val="20"/>
        </w:rPr>
        <w:t xml:space="preserve">The first implementation of the concept bridges matched the wording of the evaluation questions closely. Under that implementation the reachability instrument read eight of eight. Tested against ten reworded questions carrying the same meaning, it recovered the correct provision once. After rewriting the bridges as concepts and adding the general concordance route, the same ten reworded questions all succeeded, as did a second set of ten written before the redesign and read only once, with no false matches on either set. Across the 61-question evaluation the bridges fire on exactly the five questions they are intended for and on none of the other 56.</w:t>
      </w:r>
    </w:p>
    <w:p>
      <w:pPr>
        <w:spacing w:after="80" w:before="200"/>
        <w:jc w:val="left"/>
      </w:pPr>
      <w:r>
        <w:rPr>
          <w:rFonts w:ascii="Times New Roman" w:cs="Times New Roman" w:eastAsia="Times New Roman" w:hAnsi="Times New Roman"/>
          <w:b/>
          <w:bCs/>
          <w:sz w:val="16"/>
          <w:szCs w:val="16"/>
        </w:rPr>
        <w:t xml:space="preserve">Table VI. Generalisation of the implementation bridges.</w:t>
      </w:r>
    </w:p>
    <w:tbl>
      <w:tblPr>
        <w:tblW w:type="dxa" w:w="9000"/>
        <w:tblBorders>
          <w:top w:val="single" w:color="888888" w:sz="4"/>
          <w:left w:val="single" w:color="888888" w:sz="4"/>
          <w:bottom w:val="single" w:color="888888" w:sz="4"/>
          <w:right w:val="single" w:color="888888" w:sz="4"/>
          <w:insideH w:val="single" w:color="888888" w:sz="4"/>
          <w:insideV w:val="single" w:color="888888" w:sz="4"/>
        </w:tblBorders>
      </w:tblPr>
      <w:tblGrid>
        <w:gridCol w:w="3400"/>
        <w:gridCol w:w="2800"/>
        <w:gridCol w:w="2800"/>
      </w:tblGrid>
      <w:tr>
        <w:trPr>
          <w:tblHeader/>
        </w:trPr>
        <w:tc>
          <w:tcPr>
            <w:tcW w:type="dxa" w:w="3400"/>
            <w:shd w:fill="EDF1EE"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6"/>
                <w:szCs w:val="16"/>
              </w:rPr>
              <w:t xml:space="preserve">Question set</w:t>
            </w:r>
          </w:p>
        </w:tc>
        <w:tc>
          <w:tcPr>
            <w:tcW w:type="dxa" w:w="2800"/>
            <w:shd w:fill="EDF1EE"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6"/>
                <w:szCs w:val="16"/>
              </w:rPr>
              <w:t xml:space="preserve">Wording-matched bridges</w:t>
            </w:r>
          </w:p>
        </w:tc>
        <w:tc>
          <w:tcPr>
            <w:tcW w:type="dxa" w:w="2800"/>
            <w:shd w:fill="EDF1EE"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6"/>
                <w:szCs w:val="16"/>
              </w:rPr>
              <w:t xml:space="preserve">Concept and concordance bridges</w:t>
            </w:r>
          </w:p>
        </w:tc>
      </w:tr>
      <w:tr>
        <w:trPr>
          <w:tblHeader w:val="off"/>
        </w:trP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Development rewordings (10)</w:t>
            </w:r>
          </w:p>
        </w:tc>
        <w:tc>
          <w:tcPr>
            <w:tcW w:type="dxa" w:w="28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1 of 10</w:t>
            </w:r>
          </w:p>
        </w:tc>
        <w:tc>
          <w:tcPr>
            <w:tcW w:type="dxa" w:w="28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10 of 10</w:t>
            </w:r>
          </w:p>
        </w:tc>
      </w:tr>
      <w:tr>
        <w:trPr>
          <w:tblHeader w:val="off"/>
        </w:trP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Sealed rewordings (10)</w:t>
            </w:r>
          </w:p>
        </w:tc>
        <w:tc>
          <w:tcPr>
            <w:tcW w:type="dxa" w:w="28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not run</w:t>
            </w:r>
          </w:p>
        </w:tc>
        <w:tc>
          <w:tcPr>
            <w:tcW w:type="dxa" w:w="28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10 of 10</w:t>
            </w:r>
          </w:p>
        </w:tc>
      </w:tr>
      <w:tr>
        <w:trPr>
          <w:tblHeader w:val="off"/>
        </w:trP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False matches</w:t>
            </w:r>
          </w:p>
        </w:tc>
        <w:tc>
          <w:tcPr>
            <w:tcW w:type="dxa" w:w="28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w:t>
            </w:r>
          </w:p>
        </w:tc>
        <w:tc>
          <w:tcPr>
            <w:tcW w:type="dxa" w:w="28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0</w:t>
            </w:r>
          </w:p>
        </w:tc>
      </w:tr>
      <w:tr>
        <w:trPr>
          <w:tblHeader w:val="off"/>
        </w:trPr>
        <w:tc>
          <w:tcPr>
            <w:tcW w:type="dxa" w:w="3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Firings on the 61-question set</w:t>
            </w:r>
          </w:p>
        </w:tc>
        <w:tc>
          <w:tcPr>
            <w:tcW w:type="dxa" w:w="28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5</w:t>
            </w:r>
          </w:p>
        </w:tc>
        <w:tc>
          <w:tcPr>
            <w:tcW w:type="dxa" w:w="28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5</w:t>
            </w:r>
          </w:p>
        </w:tc>
      </w:tr>
    </w:tbl>
    <w:p>
      <w:pPr>
        <w:pStyle w:val="Heading2"/>
        <w:spacing w:after="120" w:before="220"/>
      </w:pPr>
      <w:r>
        <w:rPr>
          <w:rFonts w:ascii="Times New Roman" w:cs="Times New Roman" w:eastAsia="Times New Roman" w:hAnsi="Times New Roman"/>
          <w:b/>
          <w:bCs/>
          <w:color w:val="000000"/>
          <w:sz w:val="23"/>
          <w:szCs w:val="23"/>
        </w:rPr>
        <w:t xml:space="preserve">10.5 Text extraction</w:t>
      </w:r>
    </w:p>
    <w:p>
      <w:pPr>
        <w:spacing w:after="120" w:line="276"/>
        <w:jc w:val="both"/>
      </w:pPr>
      <w:r>
        <w:rPr>
          <w:rFonts w:ascii="Times New Roman" w:cs="Times New Roman" w:eastAsia="Times New Roman" w:hAnsi="Times New Roman"/>
          <w:sz w:val="20"/>
          <w:szCs w:val="20"/>
        </w:rPr>
        <w:t xml:space="preserve">Separating the marginal-note column reduced the number of affected pages from 76 to 49 for the Bharatiya Nyaya Sanhita, from 73 to 16 for the Bharatiya Nagarik Suraksha Sanhita and from 35 to 21 for the Bharatiya Sakshya Adhiniyam. No statutory text was lost: comparing the multiset of tokens before and after, the only tokens that disappear are the decorative rule of the running header and joined artefacts of the defect itself, such as words fused across the column boundary, which the new reader separates correctly. This correction is implemented and tested but is not yet reflected in the deployed index, which must be rebuilt for it to take effect; the results above therefore describe the corpus as it stands, with the defect present.</w:t>
      </w:r>
    </w:p>
    <w:p>
      <w:pPr>
        <w:pStyle w:val="Heading1"/>
        <w:spacing w:after="120" w:before="300"/>
      </w:pPr>
      <w:r>
        <w:rPr>
          <w:rFonts w:ascii="Times New Roman" w:cs="Times New Roman" w:eastAsia="Times New Roman" w:hAnsi="Times New Roman"/>
          <w:b/>
          <w:bCs/>
          <w:color w:val="000000"/>
          <w:sz w:val="26"/>
          <w:szCs w:val="26"/>
        </w:rPr>
        <w:t xml:space="preserve">11. Comparison with Existing Work</w:t>
      </w:r>
    </w:p>
    <w:p>
      <w:pPr>
        <w:spacing w:after="120" w:line="276"/>
        <w:jc w:val="both"/>
      </w:pPr>
      <w:r>
        <w:rPr>
          <w:rFonts w:ascii="Times New Roman" w:cs="Times New Roman" w:eastAsia="Times New Roman" w:hAnsi="Times New Roman"/>
          <w:sz w:val="20"/>
          <w:szCs w:val="20"/>
        </w:rPr>
        <w:t xml:space="preserve">Table VII compares this framework with the base work on the dimensions where they differ. The comparison is architectural. The two systems are not evaluated on the same instrument, since the base work reports a bar examination score and this work reports retrieval and grounding measures, and a numerical comparison between them would be meaningless.</w:t>
      </w:r>
    </w:p>
    <w:p>
      <w:pPr>
        <w:spacing w:after="80" w:before="200"/>
        <w:jc w:val="left"/>
      </w:pPr>
      <w:r>
        <w:rPr>
          <w:rFonts w:ascii="Times New Roman" w:cs="Times New Roman" w:eastAsia="Times New Roman" w:hAnsi="Times New Roman"/>
          <w:b/>
          <w:bCs/>
          <w:sz w:val="16"/>
          <w:szCs w:val="16"/>
        </w:rPr>
        <w:t xml:space="preserve">Table VII. Comparison with the base framework [7].</w:t>
      </w:r>
    </w:p>
    <w:tbl>
      <w:tblPr>
        <w:tblW w:type="dxa" w:w="9000"/>
        <w:tblBorders>
          <w:top w:val="single" w:color="888888" w:sz="4"/>
          <w:left w:val="single" w:color="888888" w:sz="4"/>
          <w:bottom w:val="single" w:color="888888" w:sz="4"/>
          <w:right w:val="single" w:color="888888" w:sz="4"/>
          <w:insideH w:val="single" w:color="888888" w:sz="4"/>
          <w:insideV w:val="single" w:color="888888" w:sz="4"/>
        </w:tblBorders>
      </w:tblPr>
      <w:tblGrid>
        <w:gridCol w:w="2400"/>
        <w:gridCol w:w="3200"/>
        <w:gridCol w:w="3400"/>
      </w:tblGrid>
      <w:tr>
        <w:trPr>
          <w:tblHeader/>
        </w:trPr>
        <w:tc>
          <w:tcPr>
            <w:tcW w:type="dxa" w:w="2400"/>
            <w:shd w:fill="EDF1EE" w:val="clear"/>
            <w:tcMar>
              <w:top w:type="dxa" w:w="60"/>
              <w:left w:type="dxa" w:w="90"/>
              <w:bottom w:type="dxa" w:w="60"/>
              <w:right w:type="dxa" w:w="90"/>
            </w:tcMar>
          </w:tcPr>
          <w:p>
            <w:pPr>
              <w:spacing w:after="0" w:line="240"/>
              <w:jc w:val="left"/>
            </w:pPr>
            <w:r>
              <w:rPr>
                <w:rFonts w:ascii="Times New Roman" w:cs="Times New Roman" w:eastAsia="Times New Roman" w:hAnsi="Times New Roman"/>
                <w:b/>
                <w:bCs/>
                <w:sz w:val="16"/>
                <w:szCs w:val="16"/>
              </w:rPr>
              <w:t xml:space="preserve">Dimension</w:t>
            </w:r>
          </w:p>
        </w:tc>
        <w:tc>
          <w:tcPr>
            <w:tcW w:type="dxa" w:w="3200"/>
            <w:shd w:fill="EDF1EE"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6"/>
                <w:szCs w:val="16"/>
              </w:rPr>
              <w:t xml:space="preserve">Base framework</w:t>
            </w:r>
          </w:p>
        </w:tc>
        <w:tc>
          <w:tcPr>
            <w:tcW w:type="dxa" w:w="3400"/>
            <w:shd w:fill="EDF1EE"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sz w:val="16"/>
                <w:szCs w:val="16"/>
              </w:rPr>
              <w:t xml:space="preserve">This work</w:t>
            </w:r>
          </w:p>
        </w:tc>
      </w:tr>
      <w:tr>
        <w:trPr>
          <w:tblHeader w:val="off"/>
        </w:trP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Embedding</w:t>
            </w:r>
          </w:p>
        </w:tc>
        <w:tc>
          <w:tcPr>
            <w:tcW w:type="dxa" w:w="3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General sentence encoder, 384-d</w:t>
            </w:r>
          </w:p>
        </w:tc>
        <w:tc>
          <w:tcPr>
            <w:tcW w:type="dxa" w:w="3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BGE-M3, 1024-d dense and sparse</w:t>
            </w:r>
          </w:p>
        </w:tc>
      </w:tr>
      <w:tr>
        <w:trPr>
          <w:tblHeader w:val="off"/>
        </w:trP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Retrieval</w:t>
            </w:r>
          </w:p>
        </w:tc>
        <w:tc>
          <w:tcPr>
            <w:tcW w:type="dxa" w:w="3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Dense similarity only</w:t>
            </w:r>
          </w:p>
        </w:tc>
        <w:tc>
          <w:tcPr>
            <w:tcW w:type="dxa" w:w="3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Hybrid, fused by rank inside the database</w:t>
            </w:r>
          </w:p>
        </w:tc>
      </w:tr>
      <w:tr>
        <w:trPr>
          <w:tblHeader w:val="off"/>
        </w:trP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Segmentation</w:t>
            </w:r>
          </w:p>
        </w:tc>
        <w:tc>
          <w:tcPr>
            <w:tcW w:type="dxa" w:w="3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Fixed length with small overlap</w:t>
            </w:r>
          </w:p>
        </w:tc>
        <w:tc>
          <w:tcPr>
            <w:tcW w:type="dxa" w:w="3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By chapter, section and subsection</w:t>
            </w:r>
          </w:p>
        </w:tc>
      </w:tr>
      <w:tr>
        <w:trPr>
          <w:tblHeader w:val="off"/>
        </w:trP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Grounding</w:t>
            </w:r>
          </w:p>
        </w:tc>
        <w:tc>
          <w:tcPr>
            <w:tcW w:type="dxa" w:w="3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Prompt instructs the model</w:t>
            </w:r>
          </w:p>
        </w:tc>
        <w:tc>
          <w:tcPr>
            <w:tcW w:type="dxa" w:w="3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Claims checked against retrieved identifiers</w:t>
            </w:r>
          </w:p>
        </w:tc>
      </w:tr>
      <w:tr>
        <w:trPr>
          <w:tblHeader w:val="off"/>
        </w:trP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Repealed law</w:t>
            </w:r>
          </w:p>
        </w:tc>
        <w:tc>
          <w:tcPr>
            <w:tcW w:type="dxa" w:w="3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New codes present in corpus</w:t>
            </w:r>
          </w:p>
        </w:tc>
        <w:tc>
          <w:tcPr>
            <w:tcW w:type="dxa" w:w="3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Labelled, successor named via concordance</w:t>
            </w:r>
          </w:p>
        </w:tc>
      </w:tr>
      <w:tr>
        <w:trPr>
          <w:tblHeader w:val="off"/>
        </w:trP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Users</w:t>
            </w:r>
          </w:p>
        </w:tc>
        <w:tc>
          <w:tcPr>
            <w:tcW w:type="dxa" w:w="3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One assistant</w:t>
            </w:r>
          </w:p>
        </w:tc>
        <w:tc>
          <w:tcPr>
            <w:tcW w:type="dxa" w:w="3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Four roles with distinct workflows</w:t>
            </w:r>
          </w:p>
        </w:tc>
      </w:tr>
      <w:tr>
        <w:trPr>
          <w:tblHeader w:val="off"/>
        </w:trP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Private case data</w:t>
            </w:r>
          </w:p>
        </w:tc>
        <w:tc>
          <w:tcPr>
            <w:tcW w:type="dxa" w:w="3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Not addressed</w:t>
            </w:r>
          </w:p>
        </w:tc>
        <w:tc>
          <w:tcPr>
            <w:tcW w:type="dxa" w:w="3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Per-case index isolated by ownership</w:t>
            </w:r>
          </w:p>
        </w:tc>
      </w:tr>
      <w:tr>
        <w:trPr>
          <w:tblHeader w:val="off"/>
        </w:trPr>
        <w:tc>
          <w:tcPr>
            <w:tcW w:type="dxa" w:w="240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sz w:val="16"/>
                <w:szCs w:val="16"/>
              </w:rPr>
              <w:t xml:space="preserve">Evaluation</w:t>
            </w:r>
          </w:p>
        </w:tc>
        <w:tc>
          <w:tcPr>
            <w:tcW w:type="dxa" w:w="32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Bar examination score</w:t>
            </w:r>
          </w:p>
        </w:tc>
        <w:tc>
          <w:tcPr>
            <w:tcW w:type="dxa" w:w="340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sz w:val="16"/>
                <w:szCs w:val="16"/>
              </w:rPr>
              <w:t xml:space="preserve">Retrieval, grounding, currency, reachability</w:t>
            </w:r>
          </w:p>
        </w:tc>
      </w:tr>
    </w:tbl>
    <w:p>
      <w:pPr>
        <w:spacing w:after="120" w:line="276"/>
        <w:jc w:val="both"/>
      </w:pPr>
      <w:r>
        <w:rPr>
          <w:rFonts w:ascii="Times New Roman" w:cs="Times New Roman" w:eastAsia="Times New Roman" w:hAnsi="Times New Roman"/>
          <w:sz w:val="20"/>
          <w:szCs w:val="20"/>
        </w:rPr>
        <w:t xml:space="preserve">Two further comparisons are qualitative. The multi-agent judicial framework of He and colleagues [8] shares the decomposition into cooperating agents and the draft-then-revise loop, but is aimed at predicting the outcome of a case. The present work declines that task deliberately: predicting an outcome invites reliance the evidence cannot support, and the system is confined to locating, explaining and verifying the law. The context-aware retrieval of Udayakumar and colleagues [4] anticipates our role and jurisdiction conditioning, but obtains its context from a hand-built ontology; we obtain the equivalent effect from published metadata and a small concept table, which is less expressive and much cheaper to keep current.</w:t>
      </w:r>
    </w:p>
    <w:p>
      <w:pPr>
        <w:spacing w:after="120" w:line="276"/>
        <w:jc w:val="both"/>
      </w:pPr>
      <w:r>
        <w:rPr>
          <w:rFonts w:ascii="Times New Roman" w:cs="Times New Roman" w:eastAsia="Times New Roman" w:hAnsi="Times New Roman"/>
          <w:sz w:val="20"/>
          <w:szCs w:val="20"/>
        </w:rPr>
        <w:t xml:space="preserve">Against commercial products, the only published measurement available is the audit of Magesh and colleagues [1], which found hallucination rates between roughly seventeen and thirty-three percent. Our zero unsupported claims across 478 published claims is not directly comparable, because the measures differ: they assess whether a statement is both correct and grounded in real authority, while we assess whether every published claim traces to a retrieved passage. The proper reading is narrower and still worth stating. The failure mode their audit documents is one this architecture forecloses by construction.</w:t>
      </w:r>
    </w:p>
    <w:p>
      <w:pPr>
        <w:pStyle w:val="Heading1"/>
        <w:spacing w:after="120" w:before="300"/>
      </w:pPr>
      <w:r>
        <w:rPr>
          <w:rFonts w:ascii="Times New Roman" w:cs="Times New Roman" w:eastAsia="Times New Roman" w:hAnsi="Times New Roman"/>
          <w:b/>
          <w:bCs/>
          <w:color w:val="000000"/>
          <w:sz w:val="26"/>
          <w:szCs w:val="26"/>
        </w:rPr>
        <w:t xml:space="preserve">12. Discussion</w:t>
      </w:r>
    </w:p>
    <w:p>
      <w:pPr>
        <w:spacing w:after="120" w:line="276"/>
        <w:jc w:val="both"/>
      </w:pPr>
      <w:r>
        <w:rPr>
          <w:rFonts w:ascii="Times New Roman" w:cs="Times New Roman" w:eastAsia="Times New Roman" w:hAnsi="Times New Roman"/>
          <w:sz w:val="20"/>
          <w:szCs w:val="20"/>
        </w:rPr>
        <w:t xml:space="preserve">Three observations from this work seem worth recording beyond the numbers.</w:t>
      </w:r>
    </w:p>
    <w:p>
      <w:pPr>
        <w:spacing w:after="120" w:line="276"/>
        <w:jc w:val="both"/>
      </w:pPr>
      <w:r>
        <w:rPr>
          <w:rFonts w:ascii="Times New Roman" w:cs="Times New Roman" w:eastAsia="Times New Roman" w:hAnsi="Times New Roman"/>
          <w:sz w:val="20"/>
          <w:szCs w:val="20"/>
        </w:rPr>
        <w:t xml:space="preserve">The first is that a retrieval metric can be satisfied while the task fails. Recall@5 of 0.927 was, taken alone, encouraging. The reachability instrument showed that for several core questions the provision that governs the answer was absent from the results entirely, and that the questions were being marked as satisfied by judgments that merely quoted the provision. The failure was not in retrieval but in what we had asked the measurement to certify. This is the same warning Maxwell and Schafer drew from much older evidence [2], and it survived the transition to neural retrieval intact.</w:t>
      </w:r>
    </w:p>
    <w:p>
      <w:pPr>
        <w:spacing w:after="120" w:line="276"/>
        <w:jc w:val="both"/>
      </w:pPr>
      <w:r>
        <w:rPr>
          <w:rFonts w:ascii="Times New Roman" w:cs="Times New Roman" w:eastAsia="Times New Roman" w:hAnsi="Times New Roman"/>
          <w:sz w:val="20"/>
          <w:szCs w:val="20"/>
        </w:rPr>
        <w:t xml:space="preserve">The second is that the corpus itself can defeat the ranking. Our index holds 2,983 passages of the three repealed codes against 1,185 of the codes in force, because the codes replaced in 2023 carry two centuries of accumulated commentary and the replacements carry two years. Counting the commentary written about those codes rather than the codes themselves raises the repealed figure by a further 1,071 passages, which is worth stating because an earlier count of ours did exactly that. On a statutory question, retrieval meets the old law first, and no amount of re-ranking within a collection can fix a collection whose contents are weighted against the answer. This is an acquisition problem, and we report it as such.</w:t>
      </w:r>
    </w:p>
    <w:p>
      <w:pPr>
        <w:spacing w:after="120" w:line="276"/>
        <w:jc w:val="both"/>
      </w:pPr>
      <w:r>
        <w:rPr>
          <w:rFonts w:ascii="Times New Roman" w:cs="Times New Roman" w:eastAsia="Times New Roman" w:hAnsi="Times New Roman"/>
          <w:sz w:val="20"/>
          <w:szCs w:val="20"/>
        </w:rPr>
        <w:t xml:space="preserve">The third concerns where the time goes. In the deep pipeline, generation dominates: reasoning accounts for roughly four-fifths of the elapsed time and verification for most of the remainder, while retrieval accounts for under one percent. Optimising the database or the vector search would therefore have almost no effect on the response time a user experiences. Verification is not free, but it costs a fifth of the time and buys the property the system exists to provide.</w:t>
      </w:r>
    </w:p>
    <w:p>
      <w:pPr>
        <w:spacing w:after="120" w:line="276"/>
        <w:jc w:val="both"/>
      </w:pPr>
      <w:r>
        <w:rPr>
          <w:rFonts w:ascii="Times New Roman" w:cs="Times New Roman" w:eastAsia="Times New Roman" w:hAnsi="Times New Roman"/>
          <w:sz w:val="20"/>
          <w:szCs w:val="20"/>
        </w:rPr>
        <w:t xml:space="preserve">The limitations are equally clear. Ground coverage of 0.477 means answers are incomplete even when they are sound, and the measure rests on only eight scored questions. Currency correctness of 0.650 is not adequate for a system whose central claim concerns stating the law in force. Citation accuracy of 0.624 falls short of the level at which a reader could trust the first citation shown. The advocate evaluation set, with seven questions, is too small to support conclusions. Latency measured on a single laptop with the model, the databases and the application sharing 24 GB of memory says little about a served deployment. And the corpus is heavily criminal-law weighted, so the system should not yet be described as a general Indian legal assistant.</w:t>
      </w:r>
    </w:p>
    <w:p>
      <w:pPr>
        <w:pStyle w:val="Heading1"/>
        <w:spacing w:after="120" w:before="300"/>
      </w:pPr>
      <w:r>
        <w:rPr>
          <w:rFonts w:ascii="Times New Roman" w:cs="Times New Roman" w:eastAsia="Times New Roman" w:hAnsi="Times New Roman"/>
          <w:b/>
          <w:bCs/>
          <w:color w:val="000000"/>
          <w:sz w:val="26"/>
          <w:szCs w:val="26"/>
        </w:rPr>
        <w:t xml:space="preserve">13. Conclusion</w:t>
      </w:r>
    </w:p>
    <w:p>
      <w:pPr>
        <w:spacing w:after="120" w:line="276"/>
        <w:jc w:val="both"/>
      </w:pPr>
      <w:r>
        <w:rPr>
          <w:rFonts w:ascii="Times New Roman" w:cs="Times New Roman" w:eastAsia="Times New Roman" w:hAnsi="Times New Roman"/>
          <w:sz w:val="20"/>
          <w:szCs w:val="20"/>
        </w:rPr>
        <w:t xml:space="preserve">This paper presented Corpusil, a multi-agent retrieval-augmented generation framework for Indian legal decision support, and reported its measured behaviour. The system consolidates 381 official documents into 25,323 indexed passages, retrieves over them with dense and sparse representations fused by rank, and passes each question through interpretation, retrieval, reasoning and verification stages before an answer is shown. Repealed provisions are labelled and their successors named from the official concordance, and each of the three user roles is served by its own workflow over private case data isolated by ownership.</w:t>
      </w:r>
    </w:p>
    <w:p>
      <w:pPr>
        <w:spacing w:after="120" w:line="276"/>
        <w:jc w:val="both"/>
      </w:pPr>
      <w:r>
        <w:rPr>
          <w:rFonts w:ascii="Times New Roman" w:cs="Times New Roman" w:eastAsia="Times New Roman" w:hAnsi="Times New Roman"/>
          <w:sz w:val="20"/>
          <w:szCs w:val="20"/>
        </w:rPr>
        <w:t xml:space="preserve">On a 61-question evaluation the framework achieved recall@5 of 0.927 and published 478 claims with no unsupported claim among them, which is the property it was designed to guarantee. A purpose-built reachability instrument revealed a failure that recall had concealed, namely that the governing provision was unreachable for three of eight core questions, and citation following with concept bridges raised reachability to eight of eight on the evaluation wording and six of eight on held-out wording. The same exercise produced a cautionary result worth repeating: a bridge written to the wording of the test scored perfectly on the test and recovered one reworded question in ten.</w:t>
      </w:r>
    </w:p>
    <w:p>
      <w:pPr>
        <w:spacing w:after="120" w:line="276"/>
        <w:jc w:val="both"/>
      </w:pPr>
      <w:r>
        <w:rPr>
          <w:rFonts w:ascii="Times New Roman" w:cs="Times New Roman" w:eastAsia="Times New Roman" w:hAnsi="Times New Roman"/>
          <w:sz w:val="20"/>
          <w:szCs w:val="20"/>
        </w:rPr>
        <w:t xml:space="preserve">The objectives set out in Section 4 are met for grounding, currency handling, role separation and evaluation. They are not yet met for completeness of answers, for citation precision, or for readability at the citizen level, and those measurements are reported here as they stand rather than deferred.</w:t>
      </w:r>
    </w:p>
    <w:p>
      <w:pPr>
        <w:pStyle w:val="Heading1"/>
        <w:spacing w:after="120" w:before="300"/>
      </w:pPr>
      <w:r>
        <w:rPr>
          <w:rFonts w:ascii="Times New Roman" w:cs="Times New Roman" w:eastAsia="Times New Roman" w:hAnsi="Times New Roman"/>
          <w:b/>
          <w:bCs/>
          <w:color w:val="000000"/>
          <w:sz w:val="26"/>
          <w:szCs w:val="26"/>
        </w:rPr>
        <w:t xml:space="preserve">14. Future Scope</w:t>
      </w:r>
    </w:p>
    <w:p>
      <w:pPr>
        <w:pStyle w:val="ListParagraph"/>
        <w:numPr>
          <w:ilvl w:val="0"/>
          <w:numId w:val="2"/>
        </w:numPr>
        <w:spacing w:after="80" w:line="276"/>
        <w:jc w:val="both"/>
      </w:pPr>
      <w:r>
        <w:rPr>
          <w:rFonts w:ascii="Times New Roman" w:cs="Times New Roman" w:eastAsia="Times New Roman" w:hAnsi="Times New Roman"/>
          <w:sz w:val="20"/>
          <w:szCs w:val="20"/>
        </w:rPr>
        <w:t xml:space="preserve">Rebuilding the index with the corrected text extraction, so that the marginal-note separation described in Section 5.2 reaches the deployed corpus, and re-running every evaluation against one configuration.</w:t>
      </w:r>
    </w:p>
    <w:p>
      <w:pPr>
        <w:pStyle w:val="ListParagraph"/>
        <w:numPr>
          <w:ilvl w:val="0"/>
          <w:numId w:val="2"/>
        </w:numPr>
        <w:spacing w:after="80" w:line="276"/>
        <w:jc w:val="both"/>
      </w:pPr>
      <w:r>
        <w:rPr>
          <w:rFonts w:ascii="Times New Roman" w:cs="Times New Roman" w:eastAsia="Times New Roman" w:hAnsi="Times New Roman"/>
          <w:sz w:val="20"/>
          <w:szCs w:val="20"/>
        </w:rPr>
        <w:t xml:space="preserve">Correcting the composition of the corpus by acquiring the material that is missing rather than under-weighted, in particular consumer protection, tenancy and real estate regulation, civil procedure and limitation, negotiable instruments and motor accident claims, and by adding state rules for Andhra Pradesh and Telangana, which are at present almost absent.</w:t>
      </w:r>
    </w:p>
    <w:p>
      <w:pPr>
        <w:pStyle w:val="ListParagraph"/>
        <w:numPr>
          <w:ilvl w:val="0"/>
          <w:numId w:val="2"/>
        </w:numPr>
        <w:spacing w:after="80" w:line="276"/>
        <w:jc w:val="both"/>
      </w:pPr>
      <w:r>
        <w:rPr>
          <w:rFonts w:ascii="Times New Roman" w:cs="Times New Roman" w:eastAsia="Times New Roman" w:hAnsi="Times New Roman"/>
          <w:sz w:val="20"/>
          <w:szCs w:val="20"/>
        </w:rPr>
        <w:t xml:space="preserve">Raising citation precision from 0.624 by ordering candidates by authority for the question type, preferring the provision in force for statutory questions and controlling judgments for precedent questions, and by removing near-duplicate passages before the four shown are selected.</w:t>
      </w:r>
    </w:p>
    <w:p>
      <w:pPr>
        <w:pStyle w:val="ListParagraph"/>
        <w:numPr>
          <w:ilvl w:val="0"/>
          <w:numId w:val="2"/>
        </w:numPr>
        <w:spacing w:after="80" w:line="276"/>
        <w:jc w:val="both"/>
      </w:pPr>
      <w:r>
        <w:rPr>
          <w:rFonts w:ascii="Times New Roman" w:cs="Times New Roman" w:eastAsia="Times New Roman" w:hAnsi="Times New Roman"/>
          <w:sz w:val="20"/>
          <w:szCs w:val="20"/>
        </w:rPr>
        <w:t xml:space="preserve">Improving completeness by selecting evidence for coverage of the grounds a question raises rather than by similarity alone, which is the most likely route to raising ground coverage from 0.477.</w:t>
      </w:r>
    </w:p>
    <w:p>
      <w:pPr>
        <w:pStyle w:val="ListParagraph"/>
        <w:numPr>
          <w:ilvl w:val="0"/>
          <w:numId w:val="2"/>
        </w:numPr>
        <w:spacing w:after="80" w:line="276"/>
        <w:jc w:val="both"/>
      </w:pPr>
      <w:r>
        <w:rPr>
          <w:rFonts w:ascii="Times New Roman" w:cs="Times New Roman" w:eastAsia="Times New Roman" w:hAnsi="Times New Roman"/>
          <w:sz w:val="20"/>
          <w:szCs w:val="20"/>
        </w:rPr>
        <w:t xml:space="preserve">Reducing the reading grade for the citizen role, which at 14.4 is too high, without weakening the citations that support each statement.</w:t>
      </w:r>
    </w:p>
    <w:p>
      <w:pPr>
        <w:pStyle w:val="ListParagraph"/>
        <w:numPr>
          <w:ilvl w:val="0"/>
          <w:numId w:val="2"/>
        </w:numPr>
        <w:spacing w:after="80" w:line="276"/>
        <w:jc w:val="both"/>
      </w:pPr>
      <w:r>
        <w:rPr>
          <w:rFonts w:ascii="Times New Roman" w:cs="Times New Roman" w:eastAsia="Times New Roman" w:hAnsi="Times New Roman"/>
          <w:sz w:val="20"/>
          <w:szCs w:val="20"/>
        </w:rPr>
        <w:t xml:space="preserve">Extending query understanding to Telugu and Hindi, for which the chosen encoder already provides multilingual representations, while keeping the authoritative English text and any translated explanation clearly separated.</w:t>
      </w:r>
    </w:p>
    <w:p>
      <w:pPr>
        <w:pStyle w:val="ListParagraph"/>
        <w:numPr>
          <w:ilvl w:val="0"/>
          <w:numId w:val="2"/>
        </w:numPr>
        <w:spacing w:after="80" w:line="276"/>
        <w:jc w:val="both"/>
      </w:pPr>
      <w:r>
        <w:rPr>
          <w:rFonts w:ascii="Times New Roman" w:cs="Times New Roman" w:eastAsia="Times New Roman" w:hAnsi="Times New Roman"/>
          <w:sz w:val="20"/>
          <w:szCs w:val="20"/>
        </w:rPr>
        <w:t xml:space="preserve">Scaling beyond a single host by moving rate limiting to a shared store, separating generation workers from the application servers so that the two scale independently, and keeping ingestion on separate workers, since ingestion and serving compete for memory on one machine.</w:t>
      </w:r>
    </w:p>
    <w:p>
      <w:pPr>
        <w:pStyle w:val="ListParagraph"/>
        <w:numPr>
          <w:ilvl w:val="0"/>
          <w:numId w:val="2"/>
        </w:numPr>
        <w:spacing w:after="80" w:line="276"/>
        <w:jc w:val="both"/>
      </w:pPr>
      <w:r>
        <w:rPr>
          <w:rFonts w:ascii="Times New Roman" w:cs="Times New Roman" w:eastAsia="Times New Roman" w:hAnsi="Times New Roman"/>
          <w:sz w:val="20"/>
          <w:szCs w:val="20"/>
        </w:rPr>
        <w:t xml:space="preserve">Expanding the evaluation set from 61 to at least 200 questions with wider domain coverage and a larger advocate component, and adding fresh held-out rewordings for the provisions currently unreached.</w:t>
      </w:r>
    </w:p>
    <w:p>
      <w:pPr>
        <w:pStyle w:val="Heading1"/>
        <w:spacing w:after="120" w:before="300"/>
      </w:pPr>
      <w:r>
        <w:rPr>
          <w:rFonts w:ascii="Times New Roman" w:cs="Times New Roman" w:eastAsia="Times New Roman" w:hAnsi="Times New Roman"/>
          <w:b/>
          <w:bCs/>
          <w:color w:val="000000"/>
          <w:sz w:val="26"/>
          <w:szCs w:val="26"/>
        </w:rPr>
        <w:t xml:space="preserve">References</w:t>
      </w:r>
    </w:p>
    <w:p>
      <w:pPr>
        <w:spacing w:after="80" w:line="260"/>
        <w:ind w:left="360" w:hanging="360"/>
        <w:jc w:val="left"/>
      </w:pPr>
      <w:r>
        <w:rPr>
          <w:rFonts w:ascii="Times New Roman" w:cs="Times New Roman" w:eastAsia="Times New Roman" w:hAnsi="Times New Roman"/>
          <w:sz w:val="20"/>
          <w:szCs w:val="20"/>
        </w:rPr>
        <w:t xml:space="preserve">[1] V. Magesh, F. Surani, M. Dahl, M. Suzgun, C. D. Manning, and D. E. Ho, "Hallucination-free? Assessing the reliability of leading AI legal research tools," arXiv:2405.20362, 2024.</w:t>
      </w:r>
    </w:p>
    <w:p>
      <w:pPr>
        <w:spacing w:after="80" w:line="260"/>
        <w:ind w:left="360" w:hanging="360"/>
        <w:jc w:val="left"/>
      </w:pPr>
      <w:r>
        <w:rPr>
          <w:rFonts w:ascii="Times New Roman" w:cs="Times New Roman" w:eastAsia="Times New Roman" w:hAnsi="Times New Roman"/>
          <w:sz w:val="20"/>
          <w:szCs w:val="20"/>
        </w:rPr>
        <w:t xml:space="preserve">[2] K. T. Maxwell and B. Schafer, "Concept and context in legal information retrieval," in Proc. 21st Annu. Conf. on Legal Knowledge and Information Systems (JURIX 2008), Florence, Italy, 2008, pp. 63-72.</w:t>
      </w:r>
    </w:p>
    <w:p>
      <w:pPr>
        <w:spacing w:after="80" w:line="260"/>
        <w:ind w:left="360" w:hanging="360"/>
        <w:jc w:val="left"/>
      </w:pPr>
      <w:r>
        <w:rPr>
          <w:rFonts w:ascii="Times New Roman" w:cs="Times New Roman" w:eastAsia="Times New Roman" w:hAnsi="Times New Roman"/>
          <w:sz w:val="20"/>
          <w:szCs w:val="20"/>
        </w:rPr>
        <w:t xml:space="preserve">[3] V. Bellandi, S. Castano, P. Ceravolo, E. Damiani, A. Ferrara, S. Montanelli, S. Picascia, A. Polimeno, and D. Riva, "Knowledge-based legal document retrieval: A case study on Italian civil court decisions," in Companion Proc. 23rd Int. Conf. on Knowledge Engineering and Knowledge Management (EKAW 2022), CEUR Workshop Proceedings, vol. 3256, Bozen-Bolzano, Italy, 2022.</w:t>
      </w:r>
    </w:p>
    <w:p>
      <w:pPr>
        <w:spacing w:after="80" w:line="260"/>
        <w:ind w:left="360" w:hanging="360"/>
        <w:jc w:val="left"/>
      </w:pPr>
      <w:r>
        <w:rPr>
          <w:rFonts w:ascii="Times New Roman" w:cs="Times New Roman" w:eastAsia="Times New Roman" w:hAnsi="Times New Roman"/>
          <w:sz w:val="20"/>
          <w:szCs w:val="20"/>
        </w:rPr>
        <w:t xml:space="preserve">[4] R. Udayakumar, H. M. Abbas, R. Velmurugan, A. Vanathi, N. K. Sundaram, and I. R. Nailevich, "Context-aware query interpretation in legal information systems," Indian Journal of Information Sources and Services, vol. 15, no. 3, pp. 122-130, 2025, doi: 10.51983/ijiss-2025.IJISS.15.3.14.</w:t>
      </w:r>
    </w:p>
    <w:p>
      <w:pPr>
        <w:spacing w:after="80" w:line="260"/>
        <w:ind w:left="360" w:hanging="360"/>
        <w:jc w:val="left"/>
      </w:pPr>
      <w:r>
        <w:rPr>
          <w:rFonts w:ascii="Times New Roman" w:cs="Times New Roman" w:eastAsia="Times New Roman" w:hAnsi="Times New Roman"/>
          <w:sz w:val="20"/>
          <w:szCs w:val="20"/>
        </w:rPr>
        <w:t xml:space="preserve">[5] Z. Huang, C. Low, M. Teng, H. Zhang, D. E. Ho, M. S. Krass, and M. Grabmair, "Context-aware legal citation recommendation using deep learning," in Proc. 18th Int. Conf. on Artificial Intelligence and Law (ICAIL 2021), Sao Paulo, Brazil, 2021, doi: 10.1145/3462757.3466066.</w:t>
      </w:r>
    </w:p>
    <w:p>
      <w:pPr>
        <w:spacing w:after="80" w:line="260"/>
        <w:ind w:left="360" w:hanging="360"/>
        <w:jc w:val="left"/>
      </w:pPr>
      <w:r>
        <w:rPr>
          <w:rFonts w:ascii="Times New Roman" w:cs="Times New Roman" w:eastAsia="Times New Roman" w:hAnsi="Times New Roman"/>
          <w:sz w:val="20"/>
          <w:szCs w:val="20"/>
        </w:rPr>
        <w:t xml:space="preserve">[6] P. Lewis, E. Perez, A. Piktus, F. Petroni, V. Karpukhin, N. Goyal, H. Kuttler, M. Lewis, W. Yih, T. Rocktaschel, S. Riedel, and D. Kiela, "Retrieval-augmented generation for knowledge-intensive NLP tasks," in Advances in Neural Information Processing Systems, vol. 33, 2020.</w:t>
      </w:r>
    </w:p>
    <w:p>
      <w:pPr>
        <w:spacing w:after="80" w:line="260"/>
        <w:ind w:left="360" w:hanging="360"/>
        <w:jc w:val="left"/>
      </w:pPr>
      <w:r>
        <w:rPr>
          <w:rFonts w:ascii="Times New Roman" w:cs="Times New Roman" w:eastAsia="Times New Roman" w:hAnsi="Times New Roman"/>
          <w:sz w:val="20"/>
          <w:szCs w:val="20"/>
        </w:rPr>
        <w:t xml:space="preserve">[7] J. Gupta, A. Sharma, S. Singhania, and A. I. Abidi, "Lightweight domain adaptation of a large language model for legal assistance in the Indian context," arXiv:2505.22003, 2025.</w:t>
      </w:r>
    </w:p>
    <w:p>
      <w:pPr>
        <w:spacing w:after="80" w:line="260"/>
        <w:ind w:left="360" w:hanging="360"/>
        <w:jc w:val="left"/>
      </w:pPr>
      <w:r>
        <w:rPr>
          <w:rFonts w:ascii="Times New Roman" w:cs="Times New Roman" w:eastAsia="Times New Roman" w:hAnsi="Times New Roman"/>
          <w:sz w:val="20"/>
          <w:szCs w:val="20"/>
        </w:rPr>
        <w:t xml:space="preserve">[8] Z. He, P. Cao, C. Wang, Z. Jin, Y. Chen, J. Xu, H. Li, X. Jiang, K. Liu, and J. Zhao, "AgentsCourt: Building judicial decision-making agents with court debate simulation and legal knowledge augmentation," in Findings of the Association for Computational Linguistics: EMNLP 2024, 2024. arXiv:2403.02959.</w:t>
      </w:r>
    </w:p>
    <w:p>
      <w:pPr>
        <w:spacing w:after="80" w:line="260"/>
        <w:ind w:left="360" w:hanging="360"/>
        <w:jc w:val="left"/>
      </w:pPr>
      <w:r>
        <w:rPr>
          <w:rFonts w:ascii="Times New Roman" w:cs="Times New Roman" w:eastAsia="Times New Roman" w:hAnsi="Times New Roman"/>
          <w:sz w:val="20"/>
          <w:szCs w:val="20"/>
        </w:rPr>
        <w:t xml:space="preserve">[9] V. Karpukhin, B. Oguz, S. Min, P. Lewis, L. Wu, S. Edunov, D. Chen, and W. Yih, "Dense passage retrieval for open-domain question answering," in Proc. 2020 Conf. on Empirical Methods in Natural Language Processing (EMNLP), 2020.</w:t>
      </w:r>
    </w:p>
    <w:p>
      <w:pPr>
        <w:spacing w:after="80" w:line="260"/>
        <w:ind w:left="360" w:hanging="360"/>
        <w:jc w:val="left"/>
      </w:pPr>
      <w:r>
        <w:rPr>
          <w:rFonts w:ascii="Times New Roman" w:cs="Times New Roman" w:eastAsia="Times New Roman" w:hAnsi="Times New Roman"/>
          <w:sz w:val="20"/>
          <w:szCs w:val="20"/>
        </w:rPr>
        <w:t xml:space="preserve">[10] S. Robertson and H. Zaragoza, "The probabilistic relevance framework: BM25 and beyond," Foundations and Trends in Information Retrieval, vol. 3, no. 4, pp. 333-389, 2009.</w:t>
      </w:r>
    </w:p>
    <w:p>
      <w:pPr>
        <w:spacing w:after="80" w:line="260"/>
        <w:ind w:left="360" w:hanging="360"/>
        <w:jc w:val="left"/>
      </w:pPr>
      <w:r>
        <w:rPr>
          <w:rFonts w:ascii="Times New Roman" w:cs="Times New Roman" w:eastAsia="Times New Roman" w:hAnsi="Times New Roman"/>
          <w:sz w:val="20"/>
          <w:szCs w:val="20"/>
        </w:rPr>
        <w:t xml:space="preserve">[11] I. Chalkidis, M. Fergadiotis, P. Malakasiotis, N. Aletras, and I. Androutsopoulos, "LEGAL-BERT: The muppets straight out of law school," in Findings of the Association for Computational Linguistics: EMNLP 2020, 2020.</w:t>
      </w:r>
    </w:p>
    <w:p>
      <w:pPr>
        <w:spacing w:after="80" w:line="260"/>
        <w:ind w:left="360" w:hanging="360"/>
        <w:jc w:val="left"/>
      </w:pPr>
      <w:r>
        <w:rPr>
          <w:rFonts w:ascii="Times New Roman" w:cs="Times New Roman" w:eastAsia="Times New Roman" w:hAnsi="Times New Roman"/>
          <w:sz w:val="20"/>
          <w:szCs w:val="20"/>
        </w:rPr>
        <w:t xml:space="preserve">[12] J. Chen, S. Xiao, P. Zhang, K. Luo, D. Lian, and Z. Liu, "M3-Embedding: Multi-linguality, multi-functionality, multi-granularity text embeddings through self-knowledge distillation," in Findings of the Association for Computational Linguistics: ACL 2024, 2024. arXiv:2402.03216.</w:t>
      </w:r>
    </w:p>
    <w:p>
      <w:pPr>
        <w:spacing w:after="80" w:line="260"/>
        <w:ind w:left="360" w:hanging="360"/>
        <w:jc w:val="left"/>
      </w:pPr>
      <w:r>
        <w:rPr>
          <w:rFonts w:ascii="Times New Roman" w:cs="Times New Roman" w:eastAsia="Times New Roman" w:hAnsi="Times New Roman"/>
          <w:sz w:val="20"/>
          <w:szCs w:val="20"/>
        </w:rPr>
        <w:t xml:space="preserve">[13] G. V. Cormack, C. L. A. Clarke, and S. Buettcher, "Reciprocal rank fusion outperforms Condorcet and individual rank learning methods," in Proc. 32nd Int. ACM SIGIR Conf. on Research and Development in Information Retrieval, 2009, pp. 758-759.</w:t>
      </w:r>
    </w:p>
    <w:p>
      <w:pPr>
        <w:spacing w:after="80" w:line="260"/>
        <w:ind w:left="360" w:hanging="360"/>
        <w:jc w:val="left"/>
      </w:pPr>
      <w:r>
        <w:rPr>
          <w:rFonts w:ascii="Times New Roman" w:cs="Times New Roman" w:eastAsia="Times New Roman" w:hAnsi="Times New Roman"/>
          <w:sz w:val="20"/>
          <w:szCs w:val="20"/>
        </w:rPr>
        <w:t xml:space="preserve">[14] Ministry of Home Affairs, Government of India, "The Bharatiya Nyaya Sanhita, 2023; The Bharatiya Nagarik Suraksha Sanhita, 2023; The Bharatiya Sakshya Adhiniyam, 2023," The Gazette of India, Extraordinary, Part II, 2023.</w:t>
      </w:r>
    </w:p>
    <w:sectPr>
      <w:type w:val="continuous"/>
      <w:pgSz w:w="11906" w:h="16838" w:orient="portrait"/>
      <w:pgMar w:top="1134" w:right="1134" w:bottom="1134" w:left="1134" w:header="708" w:footer="708" w:gutter="0"/>
      <w:pgNumType/>
      <w:cols w:space="34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4"/>
      </w:pPr>
    </w:lvl>
  </w:abstractNum>
  <w:abstractNum w:abstractNumId="3" w15:restartNumberingAfterBreak="0">
    <w:multiLevelType w:val="hybridMultilevel"/>
    <w:lvl w:ilvl="0" w:tentative="1">
      <w:start w:val="1"/>
      <w:numFmt w:val="decimal"/>
      <w:lvlText w:val="%1."/>
      <w:lvlJc w:val="left"/>
      <w:pPr>
        <w:ind w:left="431"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4a913d4aeacbfb3108e6a3413952f3237131dea.png"/><Relationship Id="rId8" Type="http://schemas.openxmlformats.org/officeDocument/2006/relationships/image" Target="media/bb0e1b128288b6864824b35bb1b361f867d331e3.png"/><Relationship Id="rId9" Type="http://schemas.openxmlformats.org/officeDocument/2006/relationships/image" Target="media/bdf09818346c17542dec8be8a98f9fa25a93b82a.png"/><Relationship Id="rId10" Type="http://schemas.openxmlformats.org/officeDocument/2006/relationships/image" Target="media/249b323f2898eb0f8788ed7f2c4e257e1a02834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Multi-Agent Retrieval-Augmented Generation Framework for Intelligent Legal Decision Support</dc:title>
  <dc:creator>Batch 01, Dept. of CSE (Allied), MVSREC</dc:creator>
  <cp:lastModifiedBy>Un-named</cp:lastModifiedBy>
  <cp:revision>1</cp:revision>
  <dcterms:created xsi:type="dcterms:W3CDTF">2026-09-30T17:54:40.594Z</dcterms:created>
  <dcterms:modified xsi:type="dcterms:W3CDTF">2026-09-30T17:54:40.597Z</dcterms:modified>
</cp:coreProperties>
</file>

<file path=docProps/custom.xml><?xml version="1.0" encoding="utf-8"?>
<Properties xmlns="http://schemas.openxmlformats.org/officeDocument/2006/custom-properties" xmlns:vt="http://schemas.openxmlformats.org/officeDocument/2006/docPropsVTypes"/>
</file>