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FEATURED LONG-FORM READ</w:t>
      </w:r>
    </w:p>
    <w:p>
      <w:r>
        <w:rPr>
          <w:rFonts w:ascii="Arial" w:hAnsi="Arial"/>
          <w:b/>
          <w:color w:val="2C3E50"/>
          <w:sz w:val="44"/>
        </w:rPr>
        <w:t>Article 1: Paper Isn't the Problem Waste Is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2</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3"/>
      </w:pPr>
      <w:r>
        <w:t>Perspective Matrix Module 3</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4</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US EPA Circular Economy Guidelines: </w:t>
      </w:r>
      <w:r>
        <w:t>https://www.epa.gov/circular-economy</w:t>
      </w:r>
    </w:p>
    <w:p>
      <w:pPr>
        <w:pStyle w:val="ListBullet"/>
      </w:pPr>
      <w:r>
        <w:rPr>
          <w:b/>
        </w:rPr>
        <w:t xml:space="preserve">World Bank Solid Waste Management Portal: </w:t>
      </w:r>
      <w:r>
        <w:t>https://www.worldbank.org/en/topic/urbandevelopment/brief/solid-waste-management</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