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FEATURED LONG-FORM READ</w:t>
      </w:r>
    </w:p>
    <w:p>
      <w:r>
        <w:rPr>
          <w:rFonts w:ascii="Arial" w:hAnsi="Arial"/>
          <w:b/>
          <w:color w:val="2C3E50"/>
          <w:sz w:val="44"/>
        </w:rPr>
        <w:t>Article 17: Sustainable Forestry Makes Paper Renewable</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Sustainable forestry is anchored by rigorous, third-party certification systems such as the Forest Stewardship Council (FSC) and the Programme for the Endorsement of Forest Certification (PEFC). These organizations mandate that timber harvesting maintains the forest's ecological functions, protects indigenous rights, and ensures continuous replanting. By providing a financial incentive for landowners to maintain their timberlands rather than selling them to agricultural or real estate developers, the paper industry actively prevents deforestation and preserves vital wildlife corridors.</w:t>
      </w:r>
    </w:p>
    <w:p>
      <w:pPr>
        <w:pStyle w:val="Heading3"/>
      </w:pPr>
      <w:r>
        <w:t>Perspective Matrix Module 2</w:t>
      </w:r>
    </w:p>
    <w:p>
      <w:r>
        <w:t>The energy matrix of the modern paper industry is uniquely self-sustaining. During chemical pulping, lignin—the natural polymer that binds cellulose fibers together—is extracted and concentrated into a high-energy biofuel known as black liquor. This biomass residue is burned in sophisticated recovery boilers, generating high-pressure steam and green electricity. By relying on its own organic byproducts, the paper industry satisfies the vast majority of its thermal and electrical needs, acting as a global leader in industrial biomass energy utilization.</w:t>
      </w:r>
    </w:p>
    <w:p>
      <w:pPr>
        <w:pStyle w:val="Heading3"/>
      </w:pPr>
      <w:r>
        <w:t>Perspective Matrix Module 3</w:t>
      </w:r>
    </w:p>
    <w:p>
      <w:r>
        <w:t>Historically characterized as water-intensive, modern paper mills have undergone a quiet revolution in fluid engineering. Contemporary facilities utilize advanced closed-loop internal recycling networks, membrane bioreactors, and multi-stage biological wastewater treatment plants. These technologies enable mills to continuously clean and recirculate process water, drastically reducing fresh water intake from local aquifers and ensuring that any discharged water is thoroughly clarified, protecting adjacent aquatic ecosystems.</w:t>
      </w:r>
    </w:p>
    <w:p>
      <w:pPr>
        <w:pStyle w:val="Heading3"/>
      </w:pPr>
      <w:r>
        <w:t>Perspective Matrix Module 4</w:t>
      </w:r>
    </w:p>
    <w:p>
      <w:r>
        <w:t>Scientific lifecycle assessments (LCAs) consistently demonstrate that when paper is sourced from certified timberlands and processed in modern energy-efficient facilities, its overall environmental footprint is significantly lower than alternative synthetic materials. Unlike petrochemical plastics that introduce geological carbon into the active biosphere, paper operates entirely within the biogenic carbon cycle. Every time a paper product replaces a single-use plastic, it prevents permanent microplastic fragmentation and reduces the extraction of finite fossil fuels.</w:t>
      </w:r>
    </w:p>
    <w:p>
      <w:pPr>
        <w:pStyle w:val="Heading3"/>
      </w:pPr>
      <w:r>
        <w:t>Perspective Matrix Module 5</w:t>
      </w:r>
    </w:p>
    <w:p>
      <w:r>
        <w:t>While paper is highly recyclable, the process is not infinite. Mechanical repulping inherently stresses cellulose macromolecules, causing the fibers to shorten and lose tensile strength with each subsequent cycle. On average, a single wood fiber can pass through the recycling loop five to seven times before it degrades past industrial usability. Consequently, a truly sustainable paper supply chain requires a continuous, balanced infusion of virgin fibers from certified, sustainably managed forests to maintain the structural integrity of the global recycling web.</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USDA Forest Service Regenerative Research Repositories: </w:t>
      </w:r>
      <w:r>
        <w:t>https://www.fs.usda.gov/research</w:t>
      </w:r>
    </w:p>
    <w:p>
      <w:pPr>
        <w:pStyle w:val="ListBullet"/>
      </w:pPr>
      <w:r>
        <w:rPr>
          <w:b/>
        </w:rPr>
        <w:t xml:space="preserve">World Resources Institute (WRI) Timber Tracking: </w:t>
      </w:r>
      <w:r>
        <w:t>https://www.wri.org</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