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4: Forests Grow Because They Are Managed</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Sustainable forestry is anchored by rigorous, third-party certification systems such as the Forest Stewardship Council (FSC) and the Programme for the Endorsement of Forest Certification (PEFC). These organizations mandate that timber harvesting maintains the forest's ecological functions, protects indigenous rights, and ensures continuous replanting. By providing a financial incentive for landowners to maintain their timberlands rather than selling them to agricultural or real estate developers, the paper industry actively prevents deforestation and preserves vital wildlife corridors.</w:t>
      </w:r>
    </w:p>
    <w:p>
      <w:pPr>
        <w:pStyle w:val="Heading3"/>
      </w:pPr>
      <w:r>
        <w:t>Perspective Matrix Module 2</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3"/>
      </w:pPr>
      <w:r>
        <w:t>Perspective Matrix Module 3</w:t>
      </w:r>
    </w:p>
    <w:p>
      <w:r>
        <w:t>The energy matrix of the modern paper industry is uniquely self-sustaining. During chemical pulping, lignin—the natural polymer that binds cellulose fibers together—is extracted and concentrated into a high-energy biofuel known as black liquor. This biomass residue is burned in sophisticated recovery boilers, generating high-pressure steam and green electricity. By relying on its own organic byproducts, the paper industry satisfies the vast majority of its thermal and electrical needs, acting as a global leader in industrial biomass energy utilization.</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FSC Global Impact Dashboard: </w:t>
      </w:r>
      <w:r>
        <w:t>https://fsc.org/en/page/fsc-facts-figures</w:t>
      </w:r>
    </w:p>
    <w:p>
      <w:pPr>
        <w:pStyle w:val="ListBullet"/>
      </w:pPr>
      <w:r>
        <w:rPr>
          <w:b/>
        </w:rPr>
        <w:t xml:space="preserve">PEFC International Certified Forest Data: </w:t>
      </w:r>
      <w:r>
        <w:t>https://pefc.org/discover-pefc/facts-and-figures</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