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5: Recycling Paper Giving Fibers Another Chance</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3"/>
      </w:pPr>
      <w:r>
        <w:t>Perspective Matrix Module 3</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Bureau of International Recycling (BIR) Trends: </w:t>
      </w:r>
      <w:r>
        <w:t>https://www.bir.org/industry/paper</w:t>
      </w:r>
    </w:p>
    <w:p>
      <w:pPr>
        <w:pStyle w:val="ListBullet"/>
      </w:pPr>
      <w:r>
        <w:rPr>
          <w:b/>
        </w:rPr>
        <w:t xml:space="preserve">European Paper Recycling Council Reports: </w:t>
      </w:r>
      <w:r>
        <w:t>https://www.paperrecyclingorg.eu</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