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7: The Circular Journey of a Sheet of Paper</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2</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3"/>
      </w:pPr>
      <w:r>
        <w:t>Perspective Matrix Module 3</w:t>
      </w:r>
    </w:p>
    <w:p>
      <w:r>
        <w:t>Transitioning to a circular economy requires systemic financial accountability. Extended Producer Responsibility (EPR) models shift the cost of end-of-life material management back to manufacturers. This paradigm incentivizes corporations to design packaging with circularity in mind, encouraging the elimination of complex, multi-material laminates that complicate standard hydrapulping processes. EPR fundamentally aligns economic incentives with ecological limits.</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Ellen MacArthur Foundation Circular Design Sourcing: </w:t>
      </w:r>
      <w:r>
        <w:t>https://www.ellenmacarthurfoundation.org</w:t>
      </w:r>
    </w:p>
    <w:p>
      <w:pPr>
        <w:pStyle w:val="ListBullet"/>
      </w:pPr>
      <w:r>
        <w:rPr>
          <w:b/>
        </w:rPr>
        <w:t xml:space="preserve">OECD Policy Guidance on Resource Circularity: </w:t>
      </w:r>
      <w:r>
        <w:t>https://www.oecd.org/environmental/waste/</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