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STANDARD CORE LESSON</w:t>
      </w:r>
    </w:p>
    <w:p>
      <w:r>
        <w:rPr>
          <w:rFonts w:ascii="Arial" w:hAnsi="Arial"/>
          <w:b/>
          <w:color w:val="2C3E50"/>
          <w:sz w:val="44"/>
        </w:rPr>
        <w:t>Article 8: Why Responsible Paper Use Supports Sustainable Forestry</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Sustainable forestry is anchored by rigorous, third-party certification systems such as the Forest Stewardship Council (FSC) and the Programme for the Endorsement of Forest Certification (PEFC). These organizations mandate that timber harvesting maintains the forest's ecological functions, protects indigenous rights, and ensures continuous replanting. By providing a financial incentive for landowners to maintain their timberlands rather than selling them to agricultural or real estate developers, the paper industry actively prevents deforestation and preserves vital wildlife corridors.</w:t>
      </w:r>
    </w:p>
    <w:p>
      <w:pPr>
        <w:pStyle w:val="Heading3"/>
      </w:pPr>
      <w:r>
        <w:t>Perspective Matrix Module 2</w:t>
      </w:r>
    </w:p>
    <w:p>
      <w:r>
        <w:t>The energy matrix of the modern paper industry is uniquely self-sustaining. During chemical pulping, lignin—the natural polymer that binds cellulose fibers together—is extracted and concentrated into a high-energy biofuel known as black liquor. This biomass residue is burned in sophisticated recovery boilers, generating high-pressure steam and green electricity. By relying on its own organic byproducts, the paper industry satisfies the vast majority of its thermal and electrical needs, acting as a global leader in industrial biomass energy utilization.</w:t>
      </w:r>
    </w:p>
    <w:p>
      <w:pPr>
        <w:pStyle w:val="Heading3"/>
      </w:pPr>
      <w:r>
        <w:t>Perspective Matrix Module 3</w:t>
      </w:r>
    </w:p>
    <w:p>
      <w:r>
        <w:t>Scientific lifecycle assessments (LCAs) consistently demonstrate that when paper is sourced from certified timberlands and processed in modern energy-efficient facilities, its overall environmental footprint is significantly lower than alternative synthetic materials. Unlike petrochemical plastics that introduce geological carbon into the active biosphere, paper operates entirely within the biogenic carbon cycle. Every time a paper product replaces a single-use plastic, it prevents permanent microplastic fragmentation and reduces the extraction of finite fossil fuels.</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FAO Global Forest Resources Assessment Portal: </w:t>
      </w:r>
      <w:r>
        <w:t>https://www.fao.org/forest-resources-assessment/en/</w:t>
      </w:r>
    </w:p>
    <w:p>
      <w:pPr>
        <w:pStyle w:val="ListBullet"/>
      </w:pPr>
      <w:r>
        <w:rPr>
          <w:b/>
        </w:rPr>
        <w:t xml:space="preserve">WWF Forest Sector Transformation Policy: </w:t>
      </w:r>
      <w:r>
        <w:t>https://wwf.panda.org/discover/our_focus/forests_practice/</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