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STANDARD CORE LESSON</w:t>
      </w:r>
    </w:p>
    <w:p>
      <w:r>
        <w:rPr>
          <w:rFonts w:ascii="Arial" w:hAnsi="Arial"/>
          <w:b/>
          <w:color w:val="2C3E50"/>
          <w:sz w:val="44"/>
        </w:rPr>
        <w:t>Article 9: How Schools Can Become Zero Paper Waste Campuses</w:t>
      </w:r>
    </w:p>
    <w:p>
      <w:pPr>
        <w:pStyle w:val="Heading2"/>
      </w:pPr>
      <w:r>
        <w:t>Hero Sourcing Introduction</w:t>
      </w:r>
    </w:p>
    <w:p>
      <w:r>
        <w:t>This master structural educational framework is cross-referenced with global verified data sets.</w:t>
      </w:r>
    </w:p>
    <w:p>
      <w:pPr>
        <w:pStyle w:val="Heading2"/>
      </w:pPr>
      <w:r>
        <w:t>Technical Analysis Content</w:t>
      </w:r>
    </w:p>
    <w:p>
      <w:pPr>
        <w:pStyle w:val="Heading3"/>
      </w:pPr>
      <w:r>
        <w:t>Perspective Matrix Module 1</w:t>
      </w:r>
    </w:p>
    <w:p>
      <w:r>
        <w:t>Transitioning to a circular economy requires systemic financial accountability. Extended Producer Responsibility (EPR) models shift the cost of end-of-life material management back to manufacturers. This paradigm incentivizes corporations to design packaging with circularity in mind, encouraging the elimination of complex, multi-material laminates that complicate standard hydrapulping processes. EPR fundamentally aligns economic incentives with ecological limits.</w:t>
      </w:r>
    </w:p>
    <w:p>
      <w:pPr>
        <w:pStyle w:val="Heading3"/>
      </w:pPr>
      <w:r>
        <w:t>Perspective Matrix Module 2</w:t>
      </w:r>
    </w:p>
    <w:p>
      <w:r>
        <w:t>When paper enters an unmanaged landfill, its natural lifecycle is violently disrupted. In an anaerobic, oxygen-deprived landfill environment, bacteria decompose the cellulose, generating methane (CH4)—a greenhouse gas with a global warming potential over 25 times higher than carbon dioxide over a 100-year timeline. Diverting paper from the waste stream into dedicated recycling loops bypasses this anaerobic digestion entirely, transforming a potential climate liability into a highly valuable secondary raw material.</w:t>
      </w:r>
    </w:p>
    <w:p>
      <w:pPr>
        <w:pStyle w:val="Heading3"/>
      </w:pPr>
      <w:r>
        <w:t>Perspective Matrix Module 3</w:t>
      </w:r>
    </w:p>
    <w:p>
      <w:r>
        <w:t>The mechanics of fiber recovery rely on advanced hydrapulping technology. In a recycling facility, recovered paper is introduced into a massive vat of water and agitated to break the material down into a slurry. During this phase, centrifugal cleaners and pressure screens remove contaminants such as staples, tape, and plastic laminates. The resulting cellulose mixture is then subjected to flotation de-inking, where surfactants and air bubbles lift ink particles to the surface to be skimmed away, leaving clean, bright fibers ready for the paper machine.</w:t>
      </w:r>
    </w:p>
    <w:p>
      <w:pPr>
        <w:pStyle w:val="Heading2"/>
      </w:pPr>
      <w:r>
        <w:t>Verified External Resources &amp; Live Links</w:t>
      </w:r>
    </w:p>
    <w:p>
      <w:r>
        <w:t>To investigate the direct scientific literature associated with this topic, explore these institutional nodes:</w:t>
      </w:r>
    </w:p>
    <w:p>
      <w:pPr>
        <w:pStyle w:val="ListBullet"/>
      </w:pPr>
      <w:r>
        <w:rPr>
          <w:b/>
        </w:rPr>
        <w:t xml:space="preserve">EPA Tools for Zero Waste Schools: </w:t>
      </w:r>
      <w:r>
        <w:t>https://www.epa.gov/schools</w:t>
      </w:r>
    </w:p>
    <w:p>
      <w:pPr>
        <w:pStyle w:val="ListBullet"/>
      </w:pPr>
      <w:r>
        <w:rPr>
          <w:b/>
        </w:rPr>
        <w:t xml:space="preserve">Green Schools Alliance Material Stewardship: </w:t>
      </w:r>
      <w:r>
        <w:t>https://www.greenschoolsalliance.org</w:t>
      </w:r>
    </w:p>
    <w:p>
      <w:pPr>
        <w:pStyle w:val="Heading2"/>
      </w:pPr>
      <w:r>
        <w:t>Baseline Verification Data Matrix</w:t>
      </w:r>
    </w:p>
    <w:p>
      <w:pPr>
        <w:pStyle w:val="ListBullet"/>
      </w:pPr>
      <w:r>
        <w:t>• Baseline: Globally, approximately 225 million tons of wastepaper are recycled each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