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13: Cardboard The Unsung Hero of Recycling</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2</w:t>
      </w:r>
    </w:p>
    <w:p>
      <w:r>
        <w:t>Scientific lifecycle assessments (LCAs) consistently demonstrate that when paper is sourced from certified timberlands and processed in modern energy-efficient facilities, its overall environmental footprint is significantly lower than alternative synthetic materials. Unlike petrochemical plastics that introduce geological carbon into the active biosphere, paper operates entirely within the biogenic carbon cycle. Every time a paper product replaces a single-use plastic, it prevents permanent microplastic fragmentation and reduces the extraction of finite fossil fuels.</w:t>
      </w:r>
    </w:p>
    <w:p>
      <w:pPr>
        <w:pStyle w:val="Heading3"/>
      </w:pPr>
      <w:r>
        <w:t>Perspective Matrix Module 3</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US EPA Packaging Material Fact Sheets: </w:t>
      </w:r>
      <w:r>
        <w:t>https://www.epa.gov/facts-and-figures-about-materials-waste-and-recycling</w:t>
      </w:r>
    </w:p>
    <w:p>
      <w:pPr>
        <w:pStyle w:val="ListBullet"/>
      </w:pPr>
      <w:r>
        <w:rPr>
          <w:b/>
        </w:rPr>
        <w:t xml:space="preserve">Fibre Box Association Circular Supply Metrics: </w:t>
      </w:r>
      <w:r>
        <w:t>https://www.fibrebox.org</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