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STANDARD CORE LESSON</w:t>
      </w:r>
    </w:p>
    <w:p>
      <w:r>
        <w:rPr>
          <w:rFonts w:ascii="Arial" w:hAnsi="Arial"/>
          <w:b/>
          <w:color w:val="2C3E50"/>
          <w:sz w:val="44"/>
        </w:rPr>
        <w:t>Article 15: Can We Really Go Completely Paperless</w:t>
      </w:r>
    </w:p>
    <w:p>
      <w:pPr>
        <w:pStyle w:val="Heading2"/>
      </w:pPr>
      <w:r>
        <w:t>Hero Sourcing Introduction</w:t>
      </w:r>
    </w:p>
    <w:p>
      <w:r>
        <w:t>This master structural educational framework is cross-referenced with global verified data sets.</w:t>
      </w:r>
    </w:p>
    <w:p>
      <w:pPr>
        <w:pStyle w:val="Heading2"/>
      </w:pPr>
      <w:r>
        <w:t>Technical Analysis Content</w:t>
      </w:r>
    </w:p>
    <w:p>
      <w:pPr>
        <w:pStyle w:val="Heading3"/>
      </w:pPr>
      <w:r>
        <w:t>Perspective Matrix Module 1</w:t>
      </w:r>
    </w:p>
    <w:p>
      <w:r>
        <w:t>Scientific lifecycle assessments (LCAs) consistently demonstrate that when paper is sourced from certified timberlands and processed in modern energy-efficient facilities, its overall environmental footprint is significantly lower than alternative synthetic materials. Unlike petrochemical plastics that introduce geological carbon into the active biosphere, paper operates entirely within the biogenic carbon cycle. Every time a paper product replaces a single-use plastic, it prevents permanent microplastic fragmentation and reduces the extraction of finite fossil fuels.</w:t>
      </w:r>
    </w:p>
    <w:p>
      <w:pPr>
        <w:pStyle w:val="Heading3"/>
      </w:pPr>
      <w:r>
        <w:t>Perspective Matrix Module 2</w:t>
      </w:r>
    </w:p>
    <w:p>
      <w:r>
        <w:t>The energy matrix of the modern paper industry is uniquely self-sustaining. During chemical pulping, lignin—the natural polymer that binds cellulose fibers together—is extracted and concentrated into a high-energy biofuel known as black liquor. This biomass residue is burned in sophisticated recovery boilers, generating high-pressure steam and green electricity. By relying on its own organic byproducts, the paper industry satisfies the vast majority of its thermal and electrical needs, acting as a global leader in industrial biomass energy utilization.</w:t>
      </w:r>
    </w:p>
    <w:p>
      <w:pPr>
        <w:pStyle w:val="Heading3"/>
      </w:pPr>
      <w:r>
        <w:t>Perspective Matrix Module 3</w:t>
      </w:r>
    </w:p>
    <w:p>
      <w:r>
        <w:t>Sustainable forestry is anchored by rigorous, third-party certification systems such as the Forest Stewardship Council (FSC) and the Programme for the Endorsement of Forest Certification (PEFC). These organizations mandate that timber harvesting maintains the forest's ecological functions, protects indigenous rights, and ensures continuous replanting. By providing a financial incentive for landowners to maintain their timberlands rather than selling them to agricultural or real estate developers, the paper industry actively prevents deforestation and preserves vital wildlife corridors.</w:t>
      </w:r>
    </w:p>
    <w:p>
      <w:pPr>
        <w:pStyle w:val="Heading2"/>
      </w:pPr>
      <w:r>
        <w:t>Verified External Resources &amp; Live Links</w:t>
      </w:r>
    </w:p>
    <w:p>
      <w:r>
        <w:t>To investigate the direct scientific literature associated with this topic, explore these institutional nodes:</w:t>
      </w:r>
    </w:p>
    <w:p>
      <w:pPr>
        <w:pStyle w:val="ListBullet"/>
      </w:pPr>
      <w:r>
        <w:rPr>
          <w:b/>
        </w:rPr>
        <w:t xml:space="preserve">World Bank Digital Footprint vs Material Footprint Studies: </w:t>
      </w:r>
      <w:r>
        <w:t>https://www.worldbank.org</w:t>
      </w:r>
    </w:p>
    <w:p>
      <w:pPr>
        <w:pStyle w:val="ListBullet"/>
      </w:pPr>
      <w:r>
        <w:rPr>
          <w:b/>
        </w:rPr>
        <w:t xml:space="preserve">EEA Electronic Waste Environmental Impact Datasets: </w:t>
      </w:r>
      <w:r>
        <w:t>https://www.eea.europa.eu</w:t>
      </w:r>
    </w:p>
    <w:p>
      <w:pPr>
        <w:pStyle w:val="Heading2"/>
      </w:pPr>
      <w:r>
        <w:t>Baseline Verification Data Matrix</w:t>
      </w:r>
    </w:p>
    <w:p>
      <w:pPr>
        <w:pStyle w:val="ListBullet"/>
      </w:pPr>
      <w:r>
        <w:t>• Baseline: Globally, approximately 225 million tons of wastepaper are recycled each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