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STANDARD CORE LESSON</w:t>
      </w:r>
    </w:p>
    <w:p>
      <w:r>
        <w:rPr>
          <w:rFonts w:ascii="Arial" w:hAnsi="Arial"/>
          <w:b/>
          <w:color w:val="2C3E50"/>
          <w:sz w:val="44"/>
        </w:rPr>
        <w:t>Article 16: Why Using Both Sides of Paper Matters</w:t>
      </w:r>
    </w:p>
    <w:p>
      <w:pPr>
        <w:pStyle w:val="Heading2"/>
      </w:pPr>
      <w:r>
        <w:t>Hero Sourcing Introduction</w:t>
      </w:r>
    </w:p>
    <w:p>
      <w:r>
        <w:t>This master structural educational framework is cross-referenced with global verified data sets.</w:t>
      </w:r>
    </w:p>
    <w:p>
      <w:pPr>
        <w:pStyle w:val="Heading2"/>
      </w:pPr>
      <w:r>
        <w:t>Technical Analysis Content</w:t>
      </w:r>
    </w:p>
    <w:p>
      <w:pPr>
        <w:pStyle w:val="Heading3"/>
      </w:pPr>
      <w:r>
        <w:t>Perspective Matrix Module 1</w:t>
      </w:r>
    </w:p>
    <w:p>
      <w:r>
        <w:t>When paper enters an unmanaged landfill, its natural lifecycle is violently disrupted. In an anaerobic, oxygen-deprived landfill environment, bacteria decompose the cellulose, generating methane (CH4)—a greenhouse gas with a global warming potential over 25 times higher than carbon dioxide over a 100-year timeline. Diverting paper from the waste stream into dedicated recycling loops bypasses this anaerobic digestion entirely, transforming a potential climate liability into a highly valuable secondary raw material.</w:t>
      </w:r>
    </w:p>
    <w:p>
      <w:pPr>
        <w:pStyle w:val="Heading3"/>
      </w:pPr>
      <w:r>
        <w:t>Perspective Matrix Module 2</w:t>
      </w:r>
    </w:p>
    <w:p>
      <w:r>
        <w:t>Sustainable forestry is anchored by rigorous, third-party certification systems such as the Forest Stewardship Council (FSC) and the Programme for the Endorsement of Forest Certification (PEFC). These organizations mandate that timber harvesting maintains the forest's ecological functions, protects indigenous rights, and ensures continuous replanting. By providing a financial incentive for landowners to maintain their timberlands rather than selling them to agricultural or real estate developers, the paper industry actively prevents deforestation and preserves vital wildlife corridors.</w:t>
      </w:r>
    </w:p>
    <w:p>
      <w:pPr>
        <w:pStyle w:val="Heading3"/>
      </w:pPr>
      <w:r>
        <w:t>Perspective Matrix Module 3</w:t>
      </w:r>
    </w:p>
    <w:p>
      <w:r>
        <w:t>While paper is highly recyclable, the process is not infinite. Mechanical repulping inherently stresses cellulose macromolecules, causing the fibers to shorten and lose tensile strength with each subsequent cycle. On average, a single wood fiber can pass through the recycling loop five to seven times before it degrades past industrial usability. Consequently, a truly sustainable paper supply chain requires a continuous, balanced infusion of virgin fibers from certified, sustainably managed forests to maintain the structural integrity of the global recycling web.</w:t>
      </w:r>
    </w:p>
    <w:p>
      <w:pPr>
        <w:pStyle w:val="Heading2"/>
      </w:pPr>
      <w:r>
        <w:t>Verified External Resources &amp; Live Links</w:t>
      </w:r>
    </w:p>
    <w:p>
      <w:r>
        <w:t>To investigate the direct scientific literature associated with this topic, explore these institutional nodes:</w:t>
      </w:r>
    </w:p>
    <w:p>
      <w:pPr>
        <w:pStyle w:val="ListBullet"/>
      </w:pPr>
      <w:r>
        <w:rPr>
          <w:b/>
        </w:rPr>
        <w:t xml:space="preserve">EPA Comprehensive Procurement Guidelines for Office Paper: </w:t>
      </w:r>
      <w:r>
        <w:t>https://www.epa.gov/smm/comprehensive-procurement-guidelines-paper-and-paper-products</w:t>
      </w:r>
    </w:p>
    <w:p>
      <w:pPr>
        <w:pStyle w:val="ListBullet"/>
      </w:pPr>
      <w:r>
        <w:rPr>
          <w:b/>
        </w:rPr>
        <w:t xml:space="preserve">GreenBiz Corporate Resource Conservation Blueprints: </w:t>
      </w:r>
      <w:r>
        <w:t>https://www.greenbiz.com</w:t>
      </w:r>
    </w:p>
    <w:p>
      <w:pPr>
        <w:pStyle w:val="Heading2"/>
      </w:pPr>
      <w:r>
        <w:t>Baseline Verification Data Matrix</w:t>
      </w:r>
    </w:p>
    <w:p>
      <w:pPr>
        <w:pStyle w:val="ListBullet"/>
      </w:pPr>
      <w:r>
        <w:t>• Baseline: Globally, approximately 225 million tons of wastepaper are recycled each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