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i w:val="0"/>
          <w:color w:val="0F2240"/>
          <w:sz w:val="40"/>
        </w:rPr>
        <w:t>Spatiotemporal and Predictive Analytics of Matrimonial Litigation:</w:t>
        <w:br/>
        <w:t>An Empirical Investigation of Divorce Patterns and Judicial Workload in the State of Tamil Nadu</w:t>
      </w:r>
    </w:p>
    <w:tbl>
      <w:tblPr>
        <w:tblW w:type="auto" w:w="0"/>
        <w:jc w:val="center"/>
        <w:tblLayout w:type="fixed"/>
        <w:tblLook w:firstColumn="1" w:firstRow="1" w:lastColumn="0" w:lastRow="0" w:noHBand="0" w:noVBand="1" w:val="04A0"/>
      </w:tblPr>
      <w:tblGrid>
        <w:gridCol w:w="3456"/>
        <w:gridCol w:w="3456"/>
        <w:gridCol w:w="3456"/>
      </w:tblGrid>
      <w:tr>
        <w:tc>
          <w:tcPr>
            <w:tcW w:type="dxa" w:w="3456"/>
            <w:tcMar>
              <w:top w:w="40" w:type="dxa"/>
              <w:bottom w:w="40" w:type="dxa"/>
              <w:left w:w="40" w:type="dxa"/>
              <w:right w:w="40" w:type="dxa"/>
            </w:tcMar>
          </w:tcPr>
          <w:p>
            <w:pPr>
              <w:spacing w:line="252" w:lineRule="auto" w:after="40"/>
              <w:jc w:val="center"/>
            </w:pPr>
            <w:r>
              <w:rPr>
                <w:rFonts w:ascii="Times New Roman" w:hAnsi="Times New Roman"/>
                <w:b/>
                <w:i w:val="0"/>
                <w:color w:val="000000"/>
                <w:sz w:val="21"/>
              </w:rPr>
              <w:t>Dhruv Patel</w:t>
              <w:br/>
            </w:r>
            <w:r>
              <w:rPr>
                <w:rFonts w:ascii="Times New Roman" w:hAnsi="Times New Roman"/>
                <w:b w:val="0"/>
                <w:i/>
                <w:color w:val="000000"/>
                <w:sz w:val="17"/>
              </w:rPr>
              <w:t>Dept. of Computer Science &amp; Engineering</w:t>
              <w:br/>
            </w:r>
            <w:r>
              <w:rPr>
                <w:rFonts w:ascii="Times New Roman" w:hAnsi="Times New Roman"/>
                <w:b w:val="0"/>
                <w:i/>
                <w:color w:val="000000"/>
                <w:sz w:val="17"/>
              </w:rPr>
              <w:t>School of Computer Science &amp; Engineering (SCOPE)</w:t>
              <w:br/>
            </w:r>
            <w:r>
              <w:rPr>
                <w:rFonts w:ascii="Times New Roman" w:hAnsi="Times New Roman"/>
                <w:b/>
                <w:i w:val="0"/>
                <w:color w:val="000000"/>
                <w:sz w:val="17"/>
              </w:rPr>
              <w:t>Vellore Institute of Technology (VIT)</w:t>
              <w:br/>
            </w:r>
            <w:r>
              <w:rPr>
                <w:rFonts w:ascii="Times New Roman" w:hAnsi="Times New Roman"/>
                <w:b w:val="0"/>
                <w:i w:val="0"/>
                <w:color w:val="000000"/>
                <w:sz w:val="16"/>
              </w:rPr>
              <w:t>Vellore - 632014, Tamil Nadu, India</w:t>
              <w:br/>
            </w:r>
            <w:r>
              <w:rPr>
                <w:rFonts w:ascii="Times New Roman" w:hAnsi="Times New Roman"/>
                <w:b w:val="0"/>
                <w:i/>
                <w:color w:val="003296"/>
                <w:sz w:val="16"/>
              </w:rPr>
              <w:t>dhruv.patel2023@vitstudent.ac.in</w:t>
            </w:r>
          </w:p>
        </w:tc>
        <w:tc>
          <w:tcPr>
            <w:tcW w:type="dxa" w:w="3456"/>
            <w:tcMar>
              <w:top w:w="40" w:type="dxa"/>
              <w:bottom w:w="40" w:type="dxa"/>
              <w:left w:w="40" w:type="dxa"/>
              <w:right w:w="40" w:type="dxa"/>
            </w:tcMar>
          </w:tcPr>
          <w:p>
            <w:pPr>
              <w:spacing w:line="252" w:lineRule="auto" w:after="40"/>
              <w:jc w:val="center"/>
            </w:pPr>
            <w:r>
              <w:rPr>
                <w:rFonts w:ascii="Times New Roman" w:hAnsi="Times New Roman"/>
                <w:b/>
                <w:i w:val="0"/>
                <w:color w:val="000000"/>
                <w:sz w:val="21"/>
              </w:rPr>
              <w:t>Rakshit Goyal</w:t>
              <w:br/>
            </w:r>
            <w:r>
              <w:rPr>
                <w:rFonts w:ascii="Times New Roman" w:hAnsi="Times New Roman"/>
                <w:b w:val="0"/>
                <w:i/>
                <w:color w:val="000000"/>
                <w:sz w:val="17"/>
              </w:rPr>
              <w:t>Dept. of Computer Science &amp; Engineering</w:t>
              <w:br/>
            </w:r>
            <w:r>
              <w:rPr>
                <w:rFonts w:ascii="Times New Roman" w:hAnsi="Times New Roman"/>
                <w:b w:val="0"/>
                <w:i/>
                <w:color w:val="000000"/>
                <w:sz w:val="17"/>
              </w:rPr>
              <w:t>School of Computer Science &amp; Engineering (SCOPE)</w:t>
              <w:br/>
            </w:r>
            <w:r>
              <w:rPr>
                <w:rFonts w:ascii="Times New Roman" w:hAnsi="Times New Roman"/>
                <w:b/>
                <w:i w:val="0"/>
                <w:color w:val="000000"/>
                <w:sz w:val="17"/>
              </w:rPr>
              <w:t>Vellore Institute of Technology (VIT)</w:t>
              <w:br/>
            </w:r>
            <w:r>
              <w:rPr>
                <w:rFonts w:ascii="Times New Roman" w:hAnsi="Times New Roman"/>
                <w:b w:val="0"/>
                <w:i w:val="0"/>
                <w:color w:val="000000"/>
                <w:sz w:val="16"/>
              </w:rPr>
              <w:t>Vellore - 632014, Tamil Nadu, India</w:t>
              <w:br/>
            </w:r>
            <w:r>
              <w:rPr>
                <w:rFonts w:ascii="Times New Roman" w:hAnsi="Times New Roman"/>
                <w:b w:val="0"/>
                <w:i/>
                <w:color w:val="003296"/>
                <w:sz w:val="16"/>
              </w:rPr>
              <w:t>rakshit.goyal2023@vitstudent.ac.in</w:t>
            </w:r>
          </w:p>
        </w:tc>
        <w:tc>
          <w:tcPr>
            <w:tcW w:type="dxa" w:w="3456"/>
            <w:tcMar>
              <w:top w:w="40" w:type="dxa"/>
              <w:bottom w:w="40" w:type="dxa"/>
              <w:left w:w="40" w:type="dxa"/>
              <w:right w:w="40" w:type="dxa"/>
            </w:tcMar>
          </w:tcPr>
          <w:p>
            <w:pPr>
              <w:spacing w:line="252" w:lineRule="auto" w:after="40"/>
              <w:jc w:val="center"/>
            </w:pPr>
            <w:r>
              <w:rPr>
                <w:rFonts w:ascii="Times New Roman" w:hAnsi="Times New Roman"/>
                <w:b/>
                <w:i w:val="0"/>
                <w:color w:val="000000"/>
                <w:sz w:val="21"/>
              </w:rPr>
              <w:t>Dr. Jitendra Kumar</w:t>
              <w:br/>
            </w:r>
            <w:r>
              <w:rPr>
                <w:rFonts w:ascii="Times New Roman" w:hAnsi="Times New Roman"/>
                <w:b w:val="0"/>
                <w:i/>
                <w:color w:val="000000"/>
                <w:sz w:val="17"/>
              </w:rPr>
              <w:t>Dept. of Mathematics &amp; Statistics</w:t>
              <w:br/>
            </w:r>
            <w:r>
              <w:rPr>
                <w:rFonts w:ascii="Times New Roman" w:hAnsi="Times New Roman"/>
                <w:b w:val="0"/>
                <w:i/>
                <w:color w:val="000000"/>
                <w:sz w:val="17"/>
              </w:rPr>
              <w:t>School of Advanced Sciences (SAS)</w:t>
              <w:br/>
            </w:r>
            <w:r>
              <w:rPr>
                <w:rFonts w:ascii="Times New Roman" w:hAnsi="Times New Roman"/>
                <w:b/>
                <w:i w:val="0"/>
                <w:color w:val="000000"/>
                <w:sz w:val="17"/>
              </w:rPr>
              <w:t>Vellore Institute of Technology (VIT)</w:t>
              <w:br/>
            </w:r>
            <w:r>
              <w:rPr>
                <w:rFonts w:ascii="Times New Roman" w:hAnsi="Times New Roman"/>
                <w:b w:val="0"/>
                <w:i w:val="0"/>
                <w:color w:val="000000"/>
                <w:sz w:val="16"/>
              </w:rPr>
              <w:t>Vellore - 632014, Tamil Nadu, India</w:t>
              <w:br/>
            </w:r>
            <w:r>
              <w:rPr>
                <w:rFonts w:ascii="Times New Roman" w:hAnsi="Times New Roman"/>
                <w:b w:val="0"/>
                <w:i/>
                <w:color w:val="003296"/>
                <w:sz w:val="16"/>
              </w:rPr>
              <w:t>jitendra.kumar@vit.ac.in</w:t>
            </w:r>
          </w:p>
        </w:tc>
      </w:tr>
    </w:tbl>
    <w:p>
      <w:pPr>
        <w:spacing w:line="252" w:lineRule="auto" w:before="280" w:after="80"/>
        <w:jc w:val="both"/>
      </w:pPr>
      <w:r>
        <w:rPr>
          <w:rFonts w:ascii="Times New Roman" w:hAnsi="Times New Roman"/>
          <w:b/>
          <w:i/>
          <w:color w:val="000000"/>
          <w:sz w:val="18"/>
        </w:rPr>
        <w:t>Abstract—</w:t>
      </w:r>
      <w:r>
        <w:rPr>
          <w:rFonts w:ascii="Times New Roman" w:hAnsi="Times New Roman"/>
          <w:b w:val="0"/>
          <w:i/>
          <w:color w:val="000000"/>
          <w:sz w:val="18"/>
        </w:rPr>
        <w:t>In India, the structural equilibrium between demographic marital breakdown and judicial disposal capacity is a critical public policy and institutional concern. While public discourse frequently asserts surging marital instability, empirical syntheses linking official census demographics with court administration data have remained fragmented. This paper presents an empirical, statistical, and predictive modeling investigation into matrimonial dissolution and Family Court caseloads across the 38 districts of Tamil Nadu, developed at Vellore Institute of Technology (VIT), Vellore. By harmonizing decennial census records from the Census of India 2011 (N = 72,147,030) with multi-year judicial administrative returns from the Ministry of Law and Justice, the Department of Justice Family Courts Dashboard, and the National Judicial Data Grid (NJDG) from 2018 to 2024, this study establishes baseline demographic rates, spatial hotspots, and institutional backlog trajectories. Demographic analysis reveals a statewide stock of 62,948 divorced individuals (0.87 per 1,000) and 398,284 separated individuals (5.52 per 1,000), characterized by a statistically significant biological sex disparity (2.54 divorced females per divorced male; Odds Ratio = 2.53, p &lt; 10^-15). Spatial analysis identifies distinct urban clustering in Kanniyakumari, Chennai, Coimbatore, and Kancheepuram, with Welch's t-test confirming significantly higher divorce rates in urban centers (t = -2.17, p = 0.038). Judicial time-series analysis demonstrates a severe COVID-19 structural break in 2020 (filings declined by 37.8%, while pending caseload accumulated by 13.3%). To forecast institutional demand, multiple predictive algorithms—including Naive, Moving Average, Holt Exponential Smoothing, Poisson Count Generalized Linear Models (GLMs), and Autoregressive Integrated Moving Average (ARIMA)—were benchmarked on chronological holdout data. The ARIMA(1, 1, 0) model demonstrated superior predictive capability (Holdout Mean Absolute Percentage Error = 8.01%), projecting annual filings of 34,232 cases for 2025–2026. Furthermore, pre-filing petition outcome prediction pipelines utilizing Random Forest and Regularized Logistic Regression were benchmarked under strict feature-leakage prevention protocols, achieving 71.1% balanced accuracy. The paper provides open-source serialized model pipelines (.joblib), automated reproducible tests, and an interactive analytical framework for judicial capacity planning.</w:t>
      </w:r>
    </w:p>
    <w:p>
      <w:pPr>
        <w:spacing w:line="252" w:lineRule="auto" w:before="40" w:after="240"/>
        <w:jc w:val="both"/>
      </w:pPr>
      <w:r>
        <w:rPr>
          <w:rFonts w:ascii="Times New Roman" w:hAnsi="Times New Roman"/>
          <w:b/>
          <w:i/>
          <w:color w:val="000000"/>
          <w:sz w:val="18"/>
        </w:rPr>
        <w:t>Keywords—</w:t>
      </w:r>
      <w:r>
        <w:rPr>
          <w:rFonts w:ascii="Times New Roman" w:hAnsi="Times New Roman"/>
          <w:b w:val="0"/>
          <w:i/>
          <w:color w:val="000000"/>
          <w:sz w:val="18"/>
        </w:rPr>
        <w:t>Family Courts, Matrimonial Litigation, Demographic Disparity, ARIMA Forecasting, Random Forest, Spatiotemporal Hotspots, Tamil Nadu, VIT Vellore.</w:t>
      </w:r>
    </w:p>
    <w:p>
      <w:pPr>
        <w:sectPr>
          <w:pgSz w:w="12240" w:h="15840"/>
          <w:pgMar w:top="1080" w:right="900" w:bottom="1440" w:left="900" w:header="720" w:footer="720" w:gutter="0"/>
          <w:cols w:space="720"/>
          <w:docGrid w:linePitch="360"/>
        </w:sectPr>
      </w:pPr>
    </w:p>
    <w:p>
      <w:pPr>
        <w:keepNext/>
        <w:spacing w:before="240" w:after="80"/>
        <w:jc w:val="center"/>
      </w:pPr>
      <w:r>
        <w:rPr>
          <w:rFonts w:ascii="Times New Roman" w:hAnsi="Times New Roman"/>
          <w:b/>
          <w:i w:val="0"/>
          <w:color w:val="1E3C6E"/>
          <w:sz w:val="20"/>
        </w:rPr>
        <w:t>I. INTRODUCTION</w:t>
      </w:r>
    </w:p>
    <w:p>
      <w:pPr>
        <w:spacing w:line="252" w:lineRule="auto" w:after="80" w:before="0"/>
        <w:jc w:val="both"/>
      </w:pPr>
      <w:r>
        <w:rPr>
          <w:rFonts w:ascii="Times New Roman" w:hAnsi="Times New Roman"/>
          <w:b w:val="0"/>
          <w:i w:val="0"/>
          <w:color w:val="000000"/>
          <w:sz w:val="19"/>
        </w:rPr>
        <w:t>Marital breakdown and domestic disputes represent significant social transformations affecting familial stability, economic welfare, and judicial efficiency [13]. In India, matrimonial proceedings are governed by personal religious statutes—primarily the Hindu Marriage Act, 1955 (HMA), the Special Marriage Act, 1954 (SMA), the Indian Divorce Act, 1869, and the Dissolution of Muslim Marriages Act, 1939—alongside specialized procedural forums established under the Family Courts Act, 1984. In recent years, growing urbanization, altered female labor-force participation, and changing societal norms have contributed to an escalating volume of domestic filings. Consequently, judicial administrative bodies and policymakers require advanced analytical techniques and data mining approaches to optimize judicial resource deployment and manage mounting case pendency [5].</w:t>
      </w:r>
    </w:p>
    <w:p>
      <w:pPr>
        <w:spacing w:line="252" w:lineRule="auto" w:after="80" w:before="0"/>
        <w:jc w:val="both"/>
      </w:pPr>
      <w:r>
        <w:rPr>
          <w:rFonts w:ascii="Times New Roman" w:hAnsi="Times New Roman"/>
          <w:b w:val="0"/>
          <w:i w:val="0"/>
          <w:color w:val="000000"/>
          <w:sz w:val="19"/>
        </w:rPr>
        <w:t>A fundamental challenge in legal and demographic research is the frequent conflation of demographic stocks with judicial flows:</w:t>
      </w:r>
    </w:p>
    <w:p>
      <w:pPr>
        <w:spacing w:line="252" w:lineRule="auto" w:after="80" w:before="0"/>
        <w:jc w:val="both"/>
      </w:pPr>
      <w:r>
        <w:rPr>
          <w:rFonts w:ascii="Times New Roman" w:hAnsi="Times New Roman"/>
          <w:b w:val="0"/>
          <w:i w:val="0"/>
          <w:color w:val="000000"/>
          <w:sz w:val="19"/>
        </w:rPr>
        <w:t>• Demographic Stock: The total count of individuals residing within a geographical jurisdiction who identify as divorced or separated at a specific census enumeration snapshot.</w:t>
      </w:r>
    </w:p>
    <w:p>
      <w:pPr>
        <w:spacing w:line="252" w:lineRule="auto" w:after="80" w:before="0"/>
        <w:jc w:val="both"/>
      </w:pPr>
      <w:r>
        <w:rPr>
          <w:rFonts w:ascii="Times New Roman" w:hAnsi="Times New Roman"/>
          <w:b w:val="0"/>
          <w:i w:val="0"/>
          <w:color w:val="000000"/>
          <w:sz w:val="19"/>
        </w:rPr>
        <w:t>• Judicial Flow: The operational rate of new petitions filed, adjudicated, or pending within civil court registries across annual judicial calendars.</w:t>
      </w:r>
    </w:p>
    <w:p>
      <w:pPr>
        <w:spacing w:line="252" w:lineRule="auto" w:after="80" w:before="0"/>
        <w:jc w:val="both"/>
      </w:pPr>
      <w:r>
        <w:rPr>
          <w:rFonts w:ascii="Times New Roman" w:hAnsi="Times New Roman"/>
          <w:b w:val="0"/>
          <w:i w:val="0"/>
          <w:color w:val="000000"/>
          <w:sz w:val="19"/>
        </w:rPr>
        <w:t>Failure to decouple these concepts leads to erroneous conclusions regarding litigation rates and societal breakdown. This research develops a methodologically sound and transparent analytical pipeline to examine both dimensions across Tamil Nadu.</w:t>
      </w:r>
    </w:p>
    <w:p>
      <w:pPr>
        <w:keepNext/>
        <w:spacing w:before="160" w:after="40"/>
        <w:jc w:val="left"/>
      </w:pPr>
      <w:r>
        <w:rPr>
          <w:rFonts w:ascii="Times New Roman" w:hAnsi="Times New Roman"/>
          <w:b/>
          <w:i/>
          <w:color w:val="142850"/>
          <w:sz w:val="20"/>
        </w:rPr>
        <w:t>A. What is a Judicial Hotspot?</w:t>
      </w:r>
    </w:p>
    <w:p>
      <w:pPr>
        <w:spacing w:line="252" w:lineRule="auto" w:after="80" w:before="0"/>
        <w:jc w:val="both"/>
      </w:pPr>
      <w:r>
        <w:rPr>
          <w:rFonts w:ascii="Times New Roman" w:hAnsi="Times New Roman"/>
          <w:b w:val="0"/>
          <w:i w:val="0"/>
          <w:color w:val="000000"/>
          <w:sz w:val="19"/>
        </w:rPr>
        <w:t>Analogous to criminal hotspots [1], a judicial litigation hotspot is defined as an administrative district or geographical cluster exhibiting a significantly elevated concentration of matrimonial litigation or case pendency relative to its population baseline and surrounding jurisdictions. Identifying such hotspots allows the High Court of Madras and the Department of Justice to efficiently allocate physical infrastructure, deploy additional Family Court benches, and mobilize pre-litigation mediation resources under Section 9 of the Family Courts Act, 1984.</w:t>
      </w:r>
    </w:p>
    <w:p>
      <w:pPr>
        <w:keepNext/>
        <w:spacing w:before="160" w:after="40"/>
        <w:jc w:val="left"/>
      </w:pPr>
      <w:r>
        <w:rPr>
          <w:rFonts w:ascii="Times New Roman" w:hAnsi="Times New Roman"/>
          <w:b/>
          <w:i/>
          <w:color w:val="142850"/>
          <w:sz w:val="20"/>
        </w:rPr>
        <w:t>B. Theoretical Foundations</w:t>
      </w:r>
    </w:p>
    <w:p>
      <w:pPr>
        <w:spacing w:line="252" w:lineRule="auto" w:after="80" w:before="0"/>
        <w:jc w:val="both"/>
      </w:pPr>
      <w:r>
        <w:rPr>
          <w:rFonts w:ascii="Times New Roman" w:hAnsi="Times New Roman"/>
          <w:b w:val="0"/>
          <w:i w:val="0"/>
          <w:color w:val="000000"/>
          <w:sz w:val="19"/>
        </w:rPr>
        <w:t>1) Place Theories: Focus on discrete localized units of adjudication (e.g., individual Principal Family Courts located at district headquarters). Attributes such as presiding judge availability, local legal aid clinics (TNSLSA), and court administrative staff density serve as micro-level predictors of case disposal.</w:t>
      </w:r>
    </w:p>
    <w:p>
      <w:pPr>
        <w:spacing w:line="252" w:lineRule="auto" w:after="80" w:before="0"/>
        <w:jc w:val="both"/>
      </w:pPr>
      <w:r>
        <w:rPr>
          <w:rFonts w:ascii="Times New Roman" w:hAnsi="Times New Roman"/>
          <w:b w:val="0"/>
          <w:i w:val="0"/>
          <w:color w:val="000000"/>
          <w:sz w:val="19"/>
        </w:rPr>
        <w:t>2) Neighborhood and Ecological Theories: Examine aggregate district-level indicators, including urbanization density, female literacy, and demographic disruption indices [10]. Macro-level statistical patterns are evaluated across contiguous district clusters to detect spatial diffusion effects across Tamil Nadu's Northern, Western, Central, and Southern zones.</w:t>
      </w:r>
    </w:p>
    <w:p>
      <w:pPr>
        <w:keepNext/>
        <w:spacing w:before="160" w:after="40"/>
        <w:jc w:val="left"/>
      </w:pPr>
      <w:r>
        <w:rPr>
          <w:rFonts w:ascii="Times New Roman" w:hAnsi="Times New Roman"/>
          <w:b/>
          <w:i/>
          <w:color w:val="142850"/>
          <w:sz w:val="20"/>
        </w:rPr>
        <w:t>C. Regional Focus: Tamil Nadu and Vellore District Context</w:t>
      </w:r>
    </w:p>
    <w:p>
      <w:pPr>
        <w:spacing w:line="252" w:lineRule="auto" w:after="80" w:before="0"/>
        <w:jc w:val="both"/>
      </w:pPr>
      <w:r>
        <w:rPr>
          <w:rFonts w:ascii="Times New Roman" w:hAnsi="Times New Roman"/>
          <w:b w:val="0"/>
          <w:i w:val="0"/>
          <w:color w:val="000000"/>
          <w:sz w:val="19"/>
        </w:rPr>
        <w:t>Conducted at Vellore Institute of Technology (VIT), Vellore, this study pays particular attention to administrative reconfigurations within Tamil Nadu. Historically, the composite Vellore district encompassed vast urban and rural areas. In 2019, the Government of Tamil Nadu trifurcated Vellore into Vellore, Ranipet, and Tirupathur districts. Harmonizing longitudinal data requires establishing a deterministic crosswalk that links parent 2011 Census codes with modern judicial jurisdictions, ensuring analytical rigor across northern and interior industrial corridors.</w:t>
      </w:r>
    </w:p>
    <w:p>
      <w:pPr>
        <w:keepNext/>
        <w:spacing w:before="240" w:after="80"/>
        <w:jc w:val="center"/>
      </w:pPr>
      <w:r>
        <w:rPr>
          <w:rFonts w:ascii="Times New Roman" w:hAnsi="Times New Roman"/>
          <w:b/>
          <w:i w:val="0"/>
          <w:color w:val="1E3C6E"/>
          <w:sz w:val="20"/>
        </w:rPr>
        <w:t>II. RELATED WORK</w:t>
      </w:r>
    </w:p>
    <w:p>
      <w:pPr>
        <w:spacing w:line="252" w:lineRule="auto" w:after="80" w:before="0"/>
        <w:jc w:val="both"/>
      </w:pPr>
      <w:r>
        <w:rPr>
          <w:rFonts w:ascii="Times New Roman" w:hAnsi="Times New Roman"/>
          <w:b w:val="0"/>
          <w:i w:val="0"/>
          <w:color w:val="000000"/>
          <w:sz w:val="19"/>
        </w:rPr>
        <w:t>Statistical analysis of civil litigation and crime data has evolved substantially with the integration of Geographic Information Systems (GIS) and predictive analytics [2], [11]. Spencer et al. [11] demonstrated that decomposing data across location, time, and category dimensions simultaneously produces superior predictive accuracy compared to isolated spatial models.</w:t>
      </w:r>
    </w:p>
    <w:p>
      <w:pPr>
        <w:spacing w:line="252" w:lineRule="auto" w:after="80" w:before="0"/>
        <w:jc w:val="both"/>
      </w:pPr>
      <w:r>
        <w:rPr>
          <w:rFonts w:ascii="Times New Roman" w:hAnsi="Times New Roman"/>
          <w:b w:val="0"/>
          <w:i w:val="0"/>
          <w:color w:val="000000"/>
          <w:sz w:val="19"/>
        </w:rPr>
        <w:t>In spatiotemporal analytics, spatial scan statistics popularized by Kulldorff [1], [6] have been widely deployed to detect non-random spatial clustering across epidemiological and criminological domains. Law et al. [4] utilized Bayesian spatio-temporal modeling to examine linear and non-linear trends across administrative boundaries. For institutional workload forecasting, generalized additive models (GAMs) and Autoregressive Integrated Moving Average (ARIMA) models have been effectively utilized to forecast emergency services demand and court filing volumes [7], [10].</w:t>
      </w:r>
    </w:p>
    <w:p>
      <w:pPr>
        <w:spacing w:line="252" w:lineRule="auto" w:after="80" w:before="0"/>
        <w:jc w:val="both"/>
      </w:pPr>
      <w:r>
        <w:rPr>
          <w:rFonts w:ascii="Times New Roman" w:hAnsi="Times New Roman"/>
          <w:b w:val="0"/>
          <w:i w:val="0"/>
          <w:color w:val="000000"/>
          <w:sz w:val="19"/>
        </w:rPr>
        <w:t>In the Indian judicial domain, empirical research has traditionally been impeded by fragmented institutional reporting. While the National Judicial Data Grid (NJDG) and the Department of Justice have made aggregate counts accessible, empirical syntheses cross-referencing Census demographic tables (such as Table C-02) with court clearance rates remain scarce. Furthermore, predictive machine learning applications in legal tech have frequently suffered from severe target leakage [14]—wherein post-filing procedural events (e.g., interim maintenance orders, interlocutory rulings) are improperly incorporated into feature sets to predict final decree dispositions. This paper addresses these methodological gaps by implementing strict pre-filing feature audits, formal time-series benchmarking, and spatial hotspot analysis.</w:t>
      </w:r>
    </w:p>
    <w:p>
      <w:pPr>
        <w:keepNext/>
        <w:spacing w:before="240" w:after="80"/>
        <w:jc w:val="center"/>
      </w:pPr>
      <w:r>
        <w:rPr>
          <w:rFonts w:ascii="Times New Roman" w:hAnsi="Times New Roman"/>
          <w:b/>
          <w:i w:val="0"/>
          <w:color w:val="1E3C6E"/>
          <w:sz w:val="20"/>
        </w:rPr>
        <w:t>III. DATASETS &amp; ETHICAL INTEGRITY</w:t>
      </w:r>
    </w:p>
    <w:p>
      <w:pPr>
        <w:spacing w:line="252" w:lineRule="auto" w:after="80" w:before="0"/>
        <w:jc w:val="both"/>
      </w:pPr>
      <w:r>
        <w:rPr>
          <w:rFonts w:ascii="Times New Roman" w:hAnsi="Times New Roman"/>
          <w:b w:val="0"/>
          <w:i w:val="0"/>
          <w:color w:val="000000"/>
          <w:sz w:val="19"/>
        </w:rPr>
        <w:t>The empirical investigation utilizes two primary official data repositories covering the State of Tamil Nadu:</w:t>
      </w:r>
    </w:p>
    <w:p>
      <w:pPr>
        <w:keepNext/>
        <w:spacing w:before="160" w:after="40"/>
        <w:jc w:val="left"/>
      </w:pPr>
      <w:r>
        <w:rPr>
          <w:rFonts w:ascii="Times New Roman" w:hAnsi="Times New Roman"/>
          <w:b/>
          <w:i/>
          <w:color w:val="142850"/>
          <w:sz w:val="20"/>
        </w:rPr>
        <w:t>A. Census Demographic Stock Dataset (Census 2011 Table C-02)</w:t>
      </w:r>
    </w:p>
    <w:p>
      <w:pPr>
        <w:spacing w:line="252" w:lineRule="auto" w:after="80" w:before="0"/>
        <w:jc w:val="both"/>
      </w:pPr>
      <w:r>
        <w:rPr>
          <w:rFonts w:ascii="Times New Roman" w:hAnsi="Times New Roman"/>
          <w:b w:val="0"/>
          <w:i w:val="0"/>
          <w:color w:val="000000"/>
          <w:sz w:val="19"/>
        </w:rPr>
        <w:t>Official decennial marital status data published by the Office of the Registrar General &amp; Census Commissioner, India (ORGI). Covers all 32 districts as of 2011 across 18 mutually exclusive age groups (0-9, 10-14, ..., 80+, Age not stated), biological sex (Persons, Males, Females), residence type (Total, Rural, Urban), and 6 marital status categories (Never married, Currently married, Widowed, Separated, Divorced, Unspecified). The raw archive DDW-3300C-02-fer3-MDDS.xls (537,600 bytes) was verified against published state totals (72,147,030 persons) with 0 reconciliation discrepancies across all 1,980 extracted records.</w:t>
      </w:r>
    </w:p>
    <w:p>
      <w:pPr>
        <w:keepNext/>
        <w:spacing w:before="160" w:after="40"/>
        <w:jc w:val="left"/>
      </w:pPr>
      <w:r>
        <w:rPr>
          <w:rFonts w:ascii="Times New Roman" w:hAnsi="Times New Roman"/>
          <w:b/>
          <w:i/>
          <w:color w:val="142850"/>
          <w:sz w:val="20"/>
        </w:rPr>
        <w:t>B. Multi-Year Judicial Caseload Dataset (DoJ &amp; Lok Sabha Returns)</w:t>
      </w:r>
    </w:p>
    <w:p>
      <w:pPr>
        <w:spacing w:line="252" w:lineRule="auto" w:after="80" w:before="0"/>
        <w:jc w:val="both"/>
      </w:pPr>
      <w:r>
        <w:rPr>
          <w:rFonts w:ascii="Times New Roman" w:hAnsi="Times New Roman"/>
          <w:b w:val="0"/>
          <w:i w:val="0"/>
          <w:color w:val="000000"/>
          <w:sz w:val="19"/>
        </w:rPr>
        <w:t>Official administrative statistics retrieved from Lok Sabha Unstarred Question parliamentary returns (e.g., Question No. 1134) and the Department of Justice Family Courts Dashboard:</w:t>
      </w:r>
    </w:p>
    <w:p>
      <w:pPr>
        <w:spacing w:line="252" w:lineRule="auto" w:after="80" w:before="0"/>
        <w:jc w:val="both"/>
      </w:pPr>
      <w:r>
        <w:rPr>
          <w:rFonts w:ascii="Times New Roman" w:hAnsi="Times New Roman"/>
          <w:b w:val="0"/>
          <w:i w:val="0"/>
          <w:color w:val="000000"/>
          <w:sz w:val="19"/>
        </w:rPr>
        <w:t>• Temporal Range: 2018 to 2024 annual calendar periods (T = 7).</w:t>
        <w:br/>
        <w:t>• Jurisdictional Coverage: All 40 operational Family Courts in Tamil Nadu.</w:t>
        <w:br/>
        <w:t>• Monitored Attributes: Operational court counts, annual cases filed, cases disposed, pending cases, clearance rate (%), and pendency age distributions (&lt; 1 Year, 1–3 Years, 3–5 Years, 5–10 Years, &gt; 10 Years).</w:t>
      </w:r>
    </w:p>
    <w:p>
      <w:pPr>
        <w:keepNext/>
        <w:spacing w:before="160" w:after="60"/>
        <w:jc w:val="center"/>
      </w:pPr>
      <w:r>
        <w:rPr>
          <w:rFonts w:ascii="Times New Roman" w:hAnsi="Times New Roman"/>
          <w:b/>
          <w:i w:val="0"/>
          <w:color w:val="142850"/>
          <w:sz w:val="17"/>
        </w:rPr>
        <w:t>TABLE I</w:t>
        <w:br/>
        <w:t>DATA SCHEMA AND ATTRIBUTE DESCRIPTIONS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2610"/>
        <w:gridCol w:w="2610"/>
        <w:gridCol w:w="2610"/>
        <w:gridCol w:w="2610"/>
      </w:tblGrid>
      <w:tr>
        <w:tc>
          <w:tcPr>
            <w:tcW w:type="dxa" w:w="2610"/>
            <w:shd w:fill="E9ECEF"/>
            <w:tcMar>
              <w:top w:w="60" w:type="dxa"/>
              <w:bottom w:w="60" w:type="dxa"/>
              <w:left w:w="80" w:type="dxa"/>
              <w:right w:w="80" w:type="dxa"/>
            </w:tcMar>
          </w:tcPr>
          <w:p>
            <w:pPr>
              <w:jc w:val="center"/>
            </w:pPr>
            <w:r>
              <w:rPr>
                <w:rFonts w:ascii="Times New Roman" w:hAnsi="Times New Roman"/>
                <w:b/>
                <w:i w:val="0"/>
                <w:color w:val="000000"/>
                <w:sz w:val="16"/>
              </w:rPr>
              <w:t>Attribute</w:t>
            </w:r>
          </w:p>
        </w:tc>
        <w:tc>
          <w:tcPr>
            <w:tcW w:type="dxa" w:w="2610"/>
            <w:shd w:fill="E9ECEF"/>
            <w:tcMar>
              <w:top w:w="60" w:type="dxa"/>
              <w:bottom w:w="60" w:type="dxa"/>
              <w:left w:w="80" w:type="dxa"/>
              <w:right w:w="80" w:type="dxa"/>
            </w:tcMar>
          </w:tcPr>
          <w:p>
            <w:pPr>
              <w:jc w:val="center"/>
            </w:pPr>
            <w:r>
              <w:rPr>
                <w:rFonts w:ascii="Times New Roman" w:hAnsi="Times New Roman"/>
                <w:b/>
                <w:i w:val="0"/>
                <w:color w:val="000000"/>
                <w:sz w:val="16"/>
              </w:rPr>
              <w:t>Scale</w:t>
            </w:r>
          </w:p>
        </w:tc>
        <w:tc>
          <w:tcPr>
            <w:tcW w:type="dxa" w:w="2610"/>
            <w:shd w:fill="E9ECEF"/>
            <w:tcMar>
              <w:top w:w="60" w:type="dxa"/>
              <w:bottom w:w="60" w:type="dxa"/>
              <w:left w:w="80" w:type="dxa"/>
              <w:right w:w="80" w:type="dxa"/>
            </w:tcMar>
          </w:tcPr>
          <w:p>
            <w:pPr>
              <w:jc w:val="center"/>
            </w:pPr>
            <w:r>
              <w:rPr>
                <w:rFonts w:ascii="Times New Roman" w:hAnsi="Times New Roman"/>
                <w:b/>
                <w:i w:val="0"/>
                <w:color w:val="000000"/>
                <w:sz w:val="16"/>
              </w:rPr>
              <w:t>Distinct Values</w:t>
            </w:r>
          </w:p>
        </w:tc>
        <w:tc>
          <w:tcPr>
            <w:tcW w:type="dxa" w:w="2610"/>
            <w:shd w:fill="E9ECEF"/>
            <w:tcMar>
              <w:top w:w="60" w:type="dxa"/>
              <w:bottom w:w="60" w:type="dxa"/>
              <w:left w:w="80" w:type="dxa"/>
              <w:right w:w="80" w:type="dxa"/>
            </w:tcMar>
          </w:tcPr>
          <w:p>
            <w:pPr>
              <w:jc w:val="center"/>
            </w:pPr>
            <w:r>
              <w:rPr>
                <w:rFonts w:ascii="Times New Roman" w:hAnsi="Times New Roman"/>
                <w:b/>
                <w:i w:val="0"/>
                <w:color w:val="000000"/>
                <w:sz w:val="16"/>
              </w:rPr>
              <w:t>Description</w:t>
            </w:r>
          </w:p>
        </w:tc>
      </w:tr>
      <w:tr>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District_Standardized</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Nominal</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38 Districts</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Modern administrative district standardized via Crosswalk</w:t>
            </w:r>
          </w:p>
        </w:tc>
      </w:tr>
      <w:tr>
        <w:tc>
          <w:tcPr>
            <w:tcW w:type="dxa" w:w="2610"/>
            <w:tcMar>
              <w:top w:w="40" w:type="dxa"/>
              <w:bottom w:w="40" w:type="dxa"/>
              <w:left w:w="80" w:type="dxa"/>
              <w:right w:w="80" w:type="dxa"/>
            </w:tcMar>
          </w:tcPr>
          <w:p>
            <w:pPr>
              <w:jc w:val="left"/>
            </w:pPr>
            <w:r>
              <w:rPr>
                <w:rFonts w:ascii="Times New Roman" w:hAnsi="Times New Roman"/>
                <w:b w:val="0"/>
                <w:i w:val="0"/>
                <w:color w:val="000000"/>
                <w:sz w:val="15"/>
              </w:rPr>
              <w:t>Residence_Type</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Nominal</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3 (Tot/Rur/Urb)</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Residential sector classification</w:t>
            </w:r>
          </w:p>
        </w:tc>
      </w:tr>
      <w:tr>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Age_Bracket</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Ordinal</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18 Groups</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Mutually exclusive age categories</w:t>
            </w:r>
          </w:p>
        </w:tc>
      </w:tr>
      <w:tr>
        <w:tc>
          <w:tcPr>
            <w:tcW w:type="dxa" w:w="2610"/>
            <w:tcMar>
              <w:top w:w="40" w:type="dxa"/>
              <w:bottom w:w="40" w:type="dxa"/>
              <w:left w:w="80" w:type="dxa"/>
              <w:right w:w="80" w:type="dxa"/>
            </w:tcMar>
          </w:tcPr>
          <w:p>
            <w:pPr>
              <w:jc w:val="left"/>
            </w:pPr>
            <w:r>
              <w:rPr>
                <w:rFonts w:ascii="Times New Roman" w:hAnsi="Times New Roman"/>
                <w:b w:val="0"/>
                <w:i w:val="0"/>
                <w:color w:val="000000"/>
                <w:sz w:val="15"/>
              </w:rPr>
              <w:t>Divorced_Stock</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Count</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Non-neg Int</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Enumerated divorced population stock</w:t>
            </w:r>
          </w:p>
        </w:tc>
      </w:tr>
      <w:tr>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Separated_Stock</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Count</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Non-neg Int</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Enumerated legally separated population stock</w:t>
            </w:r>
          </w:p>
        </w:tc>
      </w:tr>
      <w:tr>
        <w:tc>
          <w:tcPr>
            <w:tcW w:type="dxa" w:w="2610"/>
            <w:tcMar>
              <w:top w:w="40" w:type="dxa"/>
              <w:bottom w:w="40" w:type="dxa"/>
              <w:left w:w="80" w:type="dxa"/>
              <w:right w:w="80" w:type="dxa"/>
            </w:tcMar>
          </w:tcPr>
          <w:p>
            <w:pPr>
              <w:jc w:val="left"/>
            </w:pPr>
            <w:r>
              <w:rPr>
                <w:rFonts w:ascii="Times New Roman" w:hAnsi="Times New Roman"/>
                <w:b w:val="0"/>
                <w:i w:val="0"/>
                <w:color w:val="000000"/>
                <w:sz w:val="15"/>
              </w:rPr>
              <w:t>Annual_Cases_Filed</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Count</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22,015 - 37,840</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New matrimonial petitions registered per calendar year</w:t>
            </w:r>
          </w:p>
        </w:tc>
      </w:tr>
      <w:tr>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Annual_Cases_Disposed</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Count</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16,195 - 35,980</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Petitions decreed, dismissed, or settled per year</w:t>
            </w:r>
          </w:p>
        </w:tc>
      </w:tr>
      <w:tr>
        <w:tc>
          <w:tcPr>
            <w:tcW w:type="dxa" w:w="2610"/>
            <w:tcMar>
              <w:top w:w="40" w:type="dxa"/>
              <w:bottom w:w="40" w:type="dxa"/>
              <w:left w:w="80" w:type="dxa"/>
              <w:right w:w="80" w:type="dxa"/>
            </w:tcMar>
          </w:tcPr>
          <w:p>
            <w:pPr>
              <w:jc w:val="left"/>
            </w:pPr>
            <w:r>
              <w:rPr>
                <w:rFonts w:ascii="Times New Roman" w:hAnsi="Times New Roman"/>
                <w:b w:val="0"/>
                <w:i w:val="0"/>
                <w:color w:val="000000"/>
                <w:sz w:val="15"/>
              </w:rPr>
              <w:t>Active_Pending_Cases</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Count</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28,970 - 32,840</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Total cumulative pending caseload at snapshot</w:t>
            </w:r>
          </w:p>
        </w:tc>
      </w:tr>
      <w:tr>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Clearance_Rate_Pct</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Ratio (%)</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73.6% - 100.8%</w:t>
            </w:r>
          </w:p>
        </w:tc>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Ratio of annual disposals to annual filings</w:t>
            </w:r>
          </w:p>
        </w:tc>
      </w:tr>
      <w:tr>
        <w:tc>
          <w:tcPr>
            <w:tcW w:type="dxa" w:w="2610"/>
            <w:tcMar>
              <w:top w:w="40" w:type="dxa"/>
              <w:bottom w:w="40" w:type="dxa"/>
              <w:left w:w="80" w:type="dxa"/>
              <w:right w:w="80" w:type="dxa"/>
            </w:tcMar>
          </w:tcPr>
          <w:p>
            <w:pPr>
              <w:jc w:val="left"/>
            </w:pPr>
            <w:r>
              <w:rPr>
                <w:rFonts w:ascii="Times New Roman" w:hAnsi="Times New Roman"/>
                <w:b w:val="0"/>
                <w:i w:val="0"/>
                <w:color w:val="000000"/>
                <w:sz w:val="15"/>
              </w:rPr>
              <w:t>Pendency_Duration</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Ordinal</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5 Cohorts</w:t>
            </w:r>
          </w:p>
        </w:tc>
        <w:tc>
          <w:tcPr>
            <w:tcW w:type="dxa" w:w="2610"/>
            <w:tcMar>
              <w:top w:w="40" w:type="dxa"/>
              <w:bottom w:w="40" w:type="dxa"/>
              <w:left w:w="80" w:type="dxa"/>
              <w:right w:w="80" w:type="dxa"/>
            </w:tcMar>
          </w:tcPr>
          <w:p>
            <w:pPr>
              <w:jc w:val="left"/>
            </w:pPr>
            <w:r>
              <w:rPr>
                <w:rFonts w:ascii="Times New Roman" w:hAnsi="Times New Roman"/>
                <w:b w:val="0"/>
                <w:i w:val="0"/>
                <w:color w:val="000000"/>
                <w:sz w:val="15"/>
              </w:rPr>
              <w:t>Time elapsed from petition registration (&lt;1y to &gt;10y)</w:t>
            </w:r>
          </w:p>
        </w:tc>
      </w:tr>
    </w:tbl>
    <w:p>
      <w:pPr>
        <w:keepNext/>
        <w:spacing w:before="240" w:after="80"/>
        <w:jc w:val="center"/>
      </w:pPr>
      <w:r>
        <w:rPr>
          <w:rFonts w:ascii="Times New Roman" w:hAnsi="Times New Roman"/>
          <w:b/>
          <w:i w:val="0"/>
          <w:color w:val="1E3C6E"/>
          <w:sz w:val="20"/>
        </w:rPr>
        <w:t>IV. METHODOLOGY &amp; MATHEMATICAL FORMULATIONS</w:t>
      </w:r>
    </w:p>
    <w:p>
      <w:pPr>
        <w:spacing w:line="252" w:lineRule="auto" w:after="80" w:before="0"/>
        <w:jc w:val="both"/>
      </w:pPr>
      <w:r>
        <w:rPr>
          <w:rFonts w:ascii="Times New Roman" w:hAnsi="Times New Roman"/>
          <w:b w:val="0"/>
          <w:i w:val="0"/>
          <w:color w:val="000000"/>
          <w:sz w:val="19"/>
        </w:rPr>
        <w:t>The research methodology is partitioned into administrative data crosswalking, statistical inference formulation, time-series workload forecasting, and machine learning classification under leakage controls.</w:t>
      </w:r>
    </w:p>
    <w:p>
      <w:pPr>
        <w:keepNext/>
        <w:spacing w:before="160" w:after="40"/>
        <w:jc w:val="left"/>
      </w:pPr>
      <w:r>
        <w:rPr>
          <w:rFonts w:ascii="Times New Roman" w:hAnsi="Times New Roman"/>
          <w:b/>
          <w:i/>
          <w:color w:val="142850"/>
          <w:sz w:val="20"/>
        </w:rPr>
        <w:t>A. Deterministic Administrative Crosswalk</w:t>
      </w:r>
    </w:p>
    <w:p>
      <w:pPr>
        <w:spacing w:line="252" w:lineRule="auto" w:after="80" w:before="0"/>
        <w:jc w:val="both"/>
      </w:pPr>
      <w:r>
        <w:rPr>
          <w:rFonts w:ascii="Times New Roman" w:hAnsi="Times New Roman"/>
          <w:b w:val="0"/>
          <w:i w:val="0"/>
          <w:color w:val="000000"/>
          <w:sz w:val="19"/>
        </w:rPr>
        <w:t>Between the 2011 Census and 2024, Tamil Nadu expanded from 32 to 38 districts through governmental bifurcations and trifurcations. Specifically, Vellore was trifurcated into Vellore, Ranipet, and Tirupathur; Tirunelveli birthed Tenkasi; Kancheepuram separated Chengalpattu; Viluppuram yielded Kallakurichi; and Nagapattinam created Mayiladuthurai. A deterministic geographic crosswalk module was developed to map all modern jurisdictions to their parent census tracts, preserving demographic integrity without double-counting.</w:t>
      </w:r>
    </w:p>
    <w:p>
      <w:pPr>
        <w:keepNext/>
        <w:spacing w:before="160" w:after="40"/>
        <w:jc w:val="left"/>
      </w:pPr>
      <w:r>
        <w:rPr>
          <w:rFonts w:ascii="Times New Roman" w:hAnsi="Times New Roman"/>
          <w:b/>
          <w:i/>
          <w:color w:val="142850"/>
          <w:sz w:val="20"/>
        </w:rPr>
        <w:t>B. Mathematical Formulations &amp; Statistical Tests</w:t>
      </w:r>
    </w:p>
    <w:p>
      <w:pPr>
        <w:keepNext/>
        <w:spacing w:before="120" w:after="40"/>
        <w:jc w:val="left"/>
      </w:pPr>
      <w:r>
        <w:rPr>
          <w:rFonts w:ascii="Times New Roman" w:hAnsi="Times New Roman"/>
          <w:b w:val="0"/>
          <w:i/>
          <w:color w:val="282828"/>
          <w:sz w:val="19"/>
        </w:rPr>
        <w:t>1) Biological Sex Disparity Hypothesis Testing (Pearson Chi-Square and Odds Ratio):</w:t>
      </w:r>
    </w:p>
    <w:p>
      <w:pPr>
        <w:spacing w:line="252" w:lineRule="auto" w:after="80" w:before="0"/>
        <w:jc w:val="both"/>
      </w:pPr>
      <w:r>
        <w:rPr>
          <w:rFonts w:ascii="Times New Roman" w:hAnsi="Times New Roman"/>
          <w:b w:val="0"/>
          <w:i w:val="0"/>
          <w:color w:val="000000"/>
          <w:sz w:val="19"/>
        </w:rPr>
        <w:t>Let O_ij denote observed frequencies in a 2 x 2 contingency table cross-classifying biological sex (Male, Female) by marital dissolution status (Divorced vs. Currently Married):</w:t>
      </w:r>
    </w:p>
    <w:p>
      <w:pPr>
        <w:spacing w:before="80" w:after="80"/>
        <w:jc w:val="left"/>
      </w:pPr>
      <w:r>
        <w:rPr>
          <w:rFonts w:ascii="Cambria Math" w:hAnsi="Cambria Math"/>
          <w:b w:val="0"/>
          <w:i/>
          <w:color w:val="000000"/>
          <w:sz w:val="19"/>
        </w:rPr>
        <w:t xml:space="preserve">    chi^2 = sum_{i=1}^2 sum_{j=1}^2 [ (O_ij - E_ij)^2 / E_ij ]</w:t>
      </w:r>
      <w:r>
        <w:rPr>
          <w:rFonts w:ascii="Times New Roman" w:hAnsi="Times New Roman"/>
          <w:b/>
          <w:i w:val="0"/>
          <w:color w:val="000000"/>
          <w:sz w:val="19"/>
        </w:rPr>
        <w:tab/>
        <w:tab/>
        <w:t>(1)</w:t>
      </w:r>
    </w:p>
    <w:p>
      <w:pPr>
        <w:spacing w:line="252" w:lineRule="auto" w:after="80" w:before="0"/>
        <w:jc w:val="both"/>
      </w:pPr>
      <w:r>
        <w:rPr>
          <w:rFonts w:ascii="Times New Roman" w:hAnsi="Times New Roman"/>
          <w:b w:val="0"/>
          <w:i w:val="0"/>
          <w:color w:val="000000"/>
          <w:sz w:val="19"/>
        </w:rPr>
        <w:t>The Odds Ratio (OR) of divorce among females relative to males is formulated as:</w:t>
      </w:r>
    </w:p>
    <w:p>
      <w:pPr>
        <w:spacing w:before="80" w:after="80"/>
        <w:jc w:val="left"/>
      </w:pPr>
      <w:r>
        <w:rPr>
          <w:rFonts w:ascii="Cambria Math" w:hAnsi="Cambria Math"/>
          <w:b w:val="0"/>
          <w:i/>
          <w:color w:val="000000"/>
          <w:sz w:val="19"/>
        </w:rPr>
        <w:t xml:space="preserve">    OR = [ Divorced_Female * Married_Male ] / [ Divorced_Male * Married_Female ]</w:t>
      </w:r>
      <w:r>
        <w:rPr>
          <w:rFonts w:ascii="Times New Roman" w:hAnsi="Times New Roman"/>
          <w:b/>
          <w:i w:val="0"/>
          <w:color w:val="000000"/>
          <w:sz w:val="19"/>
        </w:rPr>
        <w:tab/>
        <w:tab/>
        <w:t>(2)</w:t>
      </w:r>
    </w:p>
    <w:p>
      <w:pPr>
        <w:spacing w:line="252" w:lineRule="auto" w:after="80" w:before="0"/>
        <w:jc w:val="both"/>
      </w:pPr>
      <w:r>
        <w:rPr>
          <w:rFonts w:ascii="Times New Roman" w:hAnsi="Times New Roman"/>
          <w:b w:val="0"/>
          <w:i w:val="0"/>
          <w:color w:val="000000"/>
          <w:sz w:val="19"/>
        </w:rPr>
        <w:t>Null Hypothesis (H0): Marital dissolution status is statistically independent of biological sex (OR = 1.0).</w:t>
        <w:br/>
        <w:t>Alternative Hypothesis (H1): Marital dissolution status is significantly associated with biological sex (OR != 1.0).</w:t>
      </w:r>
    </w:p>
    <w:p>
      <w:pPr>
        <w:keepNext/>
        <w:spacing w:before="120" w:after="40"/>
        <w:jc w:val="left"/>
      </w:pPr>
      <w:r>
        <w:rPr>
          <w:rFonts w:ascii="Times New Roman" w:hAnsi="Times New Roman"/>
          <w:b w:val="0"/>
          <w:i/>
          <w:color w:val="282828"/>
          <w:sz w:val="19"/>
        </w:rPr>
        <w:t>2) Rural-Urban Variance Comparison (Welch's t-test):</w:t>
      </w:r>
    </w:p>
    <w:p>
      <w:pPr>
        <w:spacing w:line="252" w:lineRule="auto" w:after="80" w:before="0"/>
        <w:jc w:val="both"/>
      </w:pPr>
      <w:r>
        <w:rPr>
          <w:rFonts w:ascii="Times New Roman" w:hAnsi="Times New Roman"/>
          <w:b w:val="0"/>
          <w:i w:val="0"/>
          <w:color w:val="000000"/>
          <w:sz w:val="19"/>
        </w:rPr>
        <w:t>To test whether district divorce rates per 1,000 population differ between urban and rural residential sectors without assuming homoscedasticity:</w:t>
      </w:r>
    </w:p>
    <w:p>
      <w:pPr>
        <w:spacing w:before="80" w:after="80"/>
        <w:jc w:val="left"/>
      </w:pPr>
      <w:r>
        <w:rPr>
          <w:rFonts w:ascii="Cambria Math" w:hAnsi="Cambria Math"/>
          <w:b w:val="0"/>
          <w:i/>
          <w:color w:val="000000"/>
          <w:sz w:val="19"/>
        </w:rPr>
        <w:t xml:space="preserve">    t = (X_bar_U - X_bar_R) / sqrt( s_U^2 / n_U + s_R^2 / n_R )</w:t>
      </w:r>
      <w:r>
        <w:rPr>
          <w:rFonts w:ascii="Times New Roman" w:hAnsi="Times New Roman"/>
          <w:b/>
          <w:i w:val="0"/>
          <w:color w:val="000000"/>
          <w:sz w:val="19"/>
        </w:rPr>
        <w:tab/>
        <w:tab/>
        <w:t>(3)</w:t>
      </w:r>
    </w:p>
    <w:p>
      <w:pPr>
        <w:keepNext/>
        <w:spacing w:before="120" w:after="40"/>
        <w:jc w:val="left"/>
      </w:pPr>
      <w:r>
        <w:rPr>
          <w:rFonts w:ascii="Times New Roman" w:hAnsi="Times New Roman"/>
          <w:b w:val="0"/>
          <w:i/>
          <w:color w:val="282828"/>
          <w:sz w:val="19"/>
        </w:rPr>
        <w:t>3) Pendency Duration Survival Function S(t):</w:t>
      </w:r>
    </w:p>
    <w:p>
      <w:pPr>
        <w:spacing w:line="252" w:lineRule="auto" w:after="80" w:before="0"/>
        <w:jc w:val="both"/>
      </w:pPr>
      <w:r>
        <w:rPr>
          <w:rFonts w:ascii="Times New Roman" w:hAnsi="Times New Roman"/>
          <w:b w:val="0"/>
          <w:i w:val="0"/>
          <w:color w:val="000000"/>
          <w:sz w:val="19"/>
        </w:rPr>
        <w:t>Treating court pendency duration cohorts as right-censored observation windows, the empirical Kaplan-Meier survival estimator S(t) calculates the probability that a matrimonial petition remains pending beyond duration threshold t:</w:t>
      </w:r>
    </w:p>
    <w:p>
      <w:pPr>
        <w:spacing w:before="80" w:after="80"/>
        <w:jc w:val="left"/>
      </w:pPr>
      <w:r>
        <w:rPr>
          <w:rFonts w:ascii="Cambria Math" w:hAnsi="Cambria Math"/>
          <w:b w:val="0"/>
          <w:i/>
          <w:color w:val="000000"/>
          <w:sz w:val="19"/>
        </w:rPr>
        <w:t xml:space="preserve">    S(t) = prod_{t_i &lt;= t} [ 1 - ( d_i / n_i ) ]</w:t>
      </w:r>
      <w:r>
        <w:rPr>
          <w:rFonts w:ascii="Times New Roman" w:hAnsi="Times New Roman"/>
          <w:b/>
          <w:i w:val="0"/>
          <w:color w:val="000000"/>
          <w:sz w:val="19"/>
        </w:rPr>
        <w:tab/>
        <w:tab/>
        <w:t>(4)</w:t>
      </w:r>
    </w:p>
    <w:p>
      <w:pPr>
        <w:spacing w:line="252" w:lineRule="auto" w:after="80" w:before="0"/>
        <w:jc w:val="both"/>
      </w:pPr>
      <w:r>
        <w:rPr>
          <w:rFonts w:ascii="Times New Roman" w:hAnsi="Times New Roman"/>
          <w:b w:val="0"/>
          <w:i w:val="0"/>
          <w:color w:val="000000"/>
          <w:sz w:val="19"/>
        </w:rPr>
        <w:t>where d_i represents cases disposed within duration interval i and n_i represents the cumulative active case risk set.</w:t>
      </w:r>
    </w:p>
    <w:p>
      <w:pPr>
        <w:keepNext/>
        <w:spacing w:before="120" w:after="40"/>
        <w:jc w:val="left"/>
      </w:pPr>
      <w:r>
        <w:rPr>
          <w:rFonts w:ascii="Times New Roman" w:hAnsi="Times New Roman"/>
          <w:b w:val="0"/>
          <w:i/>
          <w:color w:val="282828"/>
          <w:sz w:val="19"/>
        </w:rPr>
        <w:t>4) Time-Series Workload Forecasting (ARIMA):</w:t>
      </w:r>
    </w:p>
    <w:p>
      <w:pPr>
        <w:spacing w:line="252" w:lineRule="auto" w:after="80" w:before="0"/>
        <w:jc w:val="both"/>
      </w:pPr>
      <w:r>
        <w:rPr>
          <w:rFonts w:ascii="Times New Roman" w:hAnsi="Times New Roman"/>
          <w:b w:val="0"/>
          <w:i w:val="0"/>
          <w:color w:val="000000"/>
          <w:sz w:val="19"/>
        </w:rPr>
        <w:t>Annual case filings Y_t are modeled using an Autoregressive Integrated Moving Average specification ARIMA(p, d, q):</w:t>
      </w:r>
    </w:p>
    <w:p>
      <w:pPr>
        <w:spacing w:before="80" w:after="80"/>
        <w:jc w:val="left"/>
      </w:pPr>
      <w:r>
        <w:rPr>
          <w:rFonts w:ascii="Cambria Math" w:hAnsi="Cambria Math"/>
          <w:b w:val="0"/>
          <w:i/>
          <w:color w:val="000000"/>
          <w:sz w:val="19"/>
        </w:rPr>
        <w:t xml:space="preserve">    (1 - phi_1 B)(1 - B)^d Y_t = c + (1 + theta_1 B) epsilon_t</w:t>
      </w:r>
      <w:r>
        <w:rPr>
          <w:rFonts w:ascii="Times New Roman" w:hAnsi="Times New Roman"/>
          <w:b/>
          <w:i w:val="0"/>
          <w:color w:val="000000"/>
          <w:sz w:val="19"/>
        </w:rPr>
        <w:tab/>
        <w:tab/>
        <w:t>(5)</w:t>
      </w:r>
    </w:p>
    <w:p>
      <w:pPr>
        <w:spacing w:line="252" w:lineRule="auto" w:after="80" w:before="0"/>
        <w:jc w:val="both"/>
      </w:pPr>
      <w:r>
        <w:rPr>
          <w:rFonts w:ascii="Times New Roman" w:hAnsi="Times New Roman"/>
          <w:b w:val="0"/>
          <w:i w:val="0"/>
          <w:color w:val="000000"/>
          <w:sz w:val="19"/>
        </w:rPr>
        <w:t>where B represents the backshift operator (B Y_t = Y_{t-1}), d = 1 enforces first-order trend stationarity, and epsilon_t ~ N(0, sigma^2).</w:t>
      </w:r>
    </w:p>
    <w:p>
      <w:pPr>
        <w:keepNext/>
        <w:spacing w:before="240" w:after="80"/>
        <w:jc w:val="center"/>
      </w:pPr>
      <w:r>
        <w:rPr>
          <w:rFonts w:ascii="Times New Roman" w:hAnsi="Times New Roman"/>
          <w:b/>
          <w:i w:val="0"/>
          <w:color w:val="1E3C6E"/>
          <w:sz w:val="20"/>
        </w:rPr>
        <w:t>V. EXPERIMENTAL SETUP &amp; REPRODUCIBILITY</w:t>
      </w:r>
    </w:p>
    <w:p>
      <w:pPr>
        <w:spacing w:line="252" w:lineRule="auto" w:after="80" w:before="0"/>
        <w:jc w:val="both"/>
      </w:pPr>
      <w:r>
        <w:rPr>
          <w:rFonts w:ascii="Times New Roman" w:hAnsi="Times New Roman"/>
          <w:b w:val="0"/>
          <w:i w:val="0"/>
          <w:color w:val="000000"/>
          <w:sz w:val="19"/>
        </w:rPr>
        <w:t>All statistical computations and machine learning pipelines were developed using Python 3.12, scikit-learn (v1.6), statsmodels (v0.14), scipy (v1.15), and pandas (v2.2). The experiments were executed across two benchmark tasks:</w:t>
      </w:r>
    </w:p>
    <w:p>
      <w:pPr>
        <w:spacing w:line="252" w:lineRule="auto" w:after="80" w:before="0"/>
        <w:jc w:val="both"/>
      </w:pPr>
      <w:r>
        <w:rPr>
          <w:rFonts w:ascii="Times New Roman" w:hAnsi="Times New Roman"/>
          <w:b w:val="0"/>
          <w:i w:val="0"/>
          <w:color w:val="000000"/>
          <w:sz w:val="19"/>
        </w:rPr>
        <w:t>1) Macro Workload Forecasting: Evaluated on a chronological holdout split where 2018–2022 served as training history (N_train = 5) and 2023–2024 served as blind out-of-sample holdout test data (N_test = 2). Models were evaluated using Mean Absolute Error (MAE), Root Mean Squared Error (RMSE), and Mean Absolute Percentage Error (MAPE).</w:t>
      </w:r>
    </w:p>
    <w:p>
      <w:pPr>
        <w:spacing w:line="252" w:lineRule="auto" w:after="80" w:before="0"/>
        <w:jc w:val="both"/>
      </w:pPr>
      <w:r>
        <w:rPr>
          <w:rFonts w:ascii="Times New Roman" w:hAnsi="Times New Roman"/>
          <w:b w:val="0"/>
          <w:i w:val="0"/>
          <w:color w:val="000000"/>
          <w:sz w:val="19"/>
        </w:rPr>
        <w:t>2) Petition Outcome Classification: A benchmark cohort of 1,200 family court petitions was constructed incorporating strictly pre-filing attributes: petitioner identity (Wife, Husband), marriage duration (years), presence of minor children, governing statute (HMA 13(1) Fault, HMA 13B Mutual Consent, SMA 27 Special Marriage, Divorce Act 1869), legal representation, court jurisdiction tier, and residential sector.</w:t>
      </w:r>
    </w:p>
    <w:p>
      <w:pPr>
        <w:spacing w:line="252" w:lineRule="auto" w:after="80" w:before="0"/>
        <w:jc w:val="both"/>
      </w:pPr>
      <w:r>
        <w:rPr>
          <w:rFonts w:ascii="Times New Roman" w:hAnsi="Times New Roman"/>
          <w:b w:val="0"/>
          <w:i w:val="0"/>
          <w:color w:val="000000"/>
          <w:sz w:val="19"/>
        </w:rPr>
        <w:t>• Zero-Leakage Protocol: Variables generated post-filing—including interim maintenance orders, number of adjourned hearings, mediation referral dates, and interlocutory rulings—were rigorously excluded via an automated feature blacklist.</w:t>
      </w:r>
    </w:p>
    <w:p>
      <w:pPr>
        <w:spacing w:line="252" w:lineRule="auto" w:after="80" w:before="0"/>
        <w:jc w:val="both"/>
      </w:pPr>
      <w:r>
        <w:rPr>
          <w:rFonts w:ascii="Times New Roman" w:hAnsi="Times New Roman"/>
          <w:b w:val="0"/>
          <w:i w:val="0"/>
          <w:color w:val="000000"/>
          <w:sz w:val="19"/>
        </w:rPr>
        <w:t>• Model Serialization: All trained models were serialized as binary .joblib pipelines in outputs/models/, validated by an automated suite of 42 pytest test cases.</w:t>
      </w:r>
    </w:p>
    <w:p>
      <w:pPr>
        <w:keepNext/>
        <w:spacing w:before="240" w:after="80"/>
        <w:jc w:val="center"/>
      </w:pPr>
      <w:r>
        <w:rPr>
          <w:rFonts w:ascii="Times New Roman" w:hAnsi="Times New Roman"/>
          <w:b/>
          <w:i w:val="0"/>
          <w:color w:val="1E3C6E"/>
          <w:sz w:val="20"/>
        </w:rPr>
        <w:t>VI. RESULTS AND DISCUSSION</w:t>
      </w:r>
    </w:p>
    <w:p>
      <w:pPr>
        <w:keepNext/>
        <w:spacing w:before="160" w:after="40"/>
        <w:jc w:val="left"/>
      </w:pPr>
      <w:r>
        <w:rPr>
          <w:rFonts w:ascii="Times New Roman" w:hAnsi="Times New Roman"/>
          <w:b/>
          <w:i/>
          <w:color w:val="142850"/>
          <w:sz w:val="20"/>
        </w:rPr>
        <w:t>A. Demographic Disparity Findings</w:t>
      </w:r>
    </w:p>
    <w:p>
      <w:pPr>
        <w:spacing w:line="252" w:lineRule="auto" w:after="80" w:before="0"/>
        <w:jc w:val="both"/>
      </w:pPr>
      <w:r>
        <w:rPr>
          <w:rFonts w:ascii="Times New Roman" w:hAnsi="Times New Roman"/>
          <w:b w:val="0"/>
          <w:i w:val="0"/>
          <w:color w:val="000000"/>
          <w:sz w:val="19"/>
        </w:rPr>
        <w:t>Statewide census analysis identified 62,948 divorced individuals (0.87 per 1,000 population) and 398,284 separated individuals (5.52 per 1,000 population). A pronounced biological sex asymmetry was observed:</w:t>
      </w:r>
    </w:p>
    <w:p>
      <w:pPr>
        <w:spacing w:line="252" w:lineRule="auto" w:after="80" w:before="0"/>
        <w:jc w:val="both"/>
      </w:pPr>
      <w:r>
        <w:rPr>
          <w:rFonts w:ascii="Times New Roman" w:hAnsi="Times New Roman"/>
          <w:b w:val="0"/>
          <w:i w:val="0"/>
          <w:color w:val="000000"/>
          <w:sz w:val="19"/>
        </w:rPr>
        <w:t>• Divorced Females: 45,188 vs. Divorced Males: 17,760 (Ratio: 2.54 : 1).</w:t>
        <w:br/>
        <w:t>• Separated Females: 284,888 vs. Separated Males: 113,396 (Ratio: 2.51 : 1).</w:t>
      </w:r>
    </w:p>
    <w:p>
      <w:pPr>
        <w:spacing w:line="252" w:lineRule="auto" w:after="80" w:before="0"/>
        <w:jc w:val="both"/>
      </w:pPr>
      <w:r>
        <w:rPr>
          <w:rFonts w:ascii="Times New Roman" w:hAnsi="Times New Roman"/>
          <w:b w:val="0"/>
          <w:i w:val="0"/>
          <w:color w:val="000000"/>
          <w:sz w:val="19"/>
        </w:rPr>
        <w:t>Contingency table analysis yielded a Pearson chi^2 statistic of 7,241.8 (p &lt; 10^-15, df = 1), soundly rejecting H0. The resulting Odds Ratio of 2.53 indicates that women in Tamil Nadu are over 2.5 times more likely to be enumerated as divorced than men. Rather than reflecting higher underlying relationship dissolution among females, this asymmetry is explained by gendered demographic dynamics in India: divorced men experience substantially higher rates of remarriage and transition out of the divorced category, whereas divorced women encounter severe patriarchal barriers to remarriage and remain within the enumerated stock over extended durations.</w:t>
      </w:r>
    </w:p>
    <w:p>
      <w:pPr>
        <w:keepNext/>
        <w:spacing w:before="160" w:after="60"/>
        <w:jc w:val="center"/>
      </w:pPr>
      <w:r>
        <w:rPr>
          <w:rFonts w:ascii="Times New Roman" w:hAnsi="Times New Roman"/>
          <w:b/>
          <w:i w:val="0"/>
          <w:color w:val="142850"/>
          <w:sz w:val="17"/>
        </w:rPr>
        <w:t>TABLE II</w:t>
        <w:br/>
        <w:t>DEMOGRAPHIC RATES AND INFERENTIAL STATISTICS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2610"/>
        <w:gridCol w:w="2610"/>
        <w:gridCol w:w="2610"/>
        <w:gridCol w:w="2610"/>
      </w:tblGrid>
      <w:tr>
        <w:tc>
          <w:tcPr>
            <w:tcW w:type="dxa" w:w="2610"/>
            <w:shd w:fill="E9ECEF"/>
            <w:tcMar>
              <w:top w:w="60" w:type="dxa"/>
              <w:bottom w:w="60" w:type="dxa"/>
              <w:left w:w="80" w:type="dxa"/>
              <w:right w:w="80" w:type="dxa"/>
            </w:tcMar>
          </w:tcPr>
          <w:p>
            <w:pPr>
              <w:jc w:val="center"/>
            </w:pPr>
            <w:r>
              <w:rPr>
                <w:rFonts w:ascii="Times New Roman" w:hAnsi="Times New Roman"/>
                <w:b/>
                <w:i w:val="0"/>
                <w:color w:val="000000"/>
                <w:sz w:val="16"/>
              </w:rPr>
              <w:t>Metric</w:t>
            </w:r>
          </w:p>
        </w:tc>
        <w:tc>
          <w:tcPr>
            <w:tcW w:type="dxa" w:w="2610"/>
            <w:shd w:fill="E9ECEF"/>
            <w:tcMar>
              <w:top w:w="60" w:type="dxa"/>
              <w:bottom w:w="60" w:type="dxa"/>
              <w:left w:w="80" w:type="dxa"/>
              <w:right w:w="80" w:type="dxa"/>
            </w:tcMar>
          </w:tcPr>
          <w:p>
            <w:pPr>
              <w:jc w:val="center"/>
            </w:pPr>
            <w:r>
              <w:rPr>
                <w:rFonts w:ascii="Times New Roman" w:hAnsi="Times New Roman"/>
                <w:b/>
                <w:i w:val="0"/>
                <w:color w:val="000000"/>
                <w:sz w:val="16"/>
              </w:rPr>
              <w:t>Rural Sector</w:t>
            </w:r>
          </w:p>
        </w:tc>
        <w:tc>
          <w:tcPr>
            <w:tcW w:type="dxa" w:w="2610"/>
            <w:shd w:fill="E9ECEF"/>
            <w:tcMar>
              <w:top w:w="60" w:type="dxa"/>
              <w:bottom w:w="60" w:type="dxa"/>
              <w:left w:w="80" w:type="dxa"/>
              <w:right w:w="80" w:type="dxa"/>
            </w:tcMar>
          </w:tcPr>
          <w:p>
            <w:pPr>
              <w:jc w:val="center"/>
            </w:pPr>
            <w:r>
              <w:rPr>
                <w:rFonts w:ascii="Times New Roman" w:hAnsi="Times New Roman"/>
                <w:b/>
                <w:i w:val="0"/>
                <w:color w:val="000000"/>
                <w:sz w:val="16"/>
              </w:rPr>
              <w:t>Urban Sector</w:t>
            </w:r>
          </w:p>
        </w:tc>
        <w:tc>
          <w:tcPr>
            <w:tcW w:type="dxa" w:w="2610"/>
            <w:shd w:fill="E9ECEF"/>
            <w:tcMar>
              <w:top w:w="60" w:type="dxa"/>
              <w:bottom w:w="60" w:type="dxa"/>
              <w:left w:w="80" w:type="dxa"/>
              <w:right w:w="80" w:type="dxa"/>
            </w:tcMar>
          </w:tcPr>
          <w:p>
            <w:pPr>
              <w:jc w:val="center"/>
            </w:pPr>
            <w:r>
              <w:rPr>
                <w:rFonts w:ascii="Times New Roman" w:hAnsi="Times New Roman"/>
                <w:b/>
                <w:i w:val="0"/>
                <w:color w:val="000000"/>
                <w:sz w:val="16"/>
              </w:rPr>
              <w:t>Statewide Total</w:t>
            </w:r>
          </w:p>
        </w:tc>
      </w:tr>
      <w:tr>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Enumerated Population</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37,229,590</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34,917,440</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72,147,030</w:t>
            </w:r>
          </w:p>
        </w:tc>
      </w:tr>
      <w:tr>
        <w:tc>
          <w:tcPr>
            <w:tcW w:type="dxa" w:w="2610"/>
            <w:tcMar>
              <w:top w:w="40" w:type="dxa"/>
              <w:bottom w:w="40" w:type="dxa"/>
              <w:left w:w="80" w:type="dxa"/>
              <w:right w:w="80" w:type="dxa"/>
            </w:tcMar>
          </w:tcPr>
          <w:p>
            <w:pPr>
              <w:jc w:val="left"/>
            </w:pPr>
            <w:r>
              <w:rPr>
                <w:rFonts w:ascii="Times New Roman" w:hAnsi="Times New Roman"/>
                <w:b w:val="0"/>
                <w:i w:val="0"/>
                <w:color w:val="000000"/>
                <w:sz w:val="15"/>
              </w:rPr>
              <w:t>Divorced Individuals</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28,683</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34,265</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62,948</w:t>
            </w:r>
          </w:p>
        </w:tc>
      </w:tr>
      <w:tr>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Divorce Rate (per 1,000)</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0.77</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0.98</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0.87</w:t>
            </w:r>
          </w:p>
        </w:tc>
      </w:tr>
      <w:tr>
        <w:tc>
          <w:tcPr>
            <w:tcW w:type="dxa" w:w="2610"/>
            <w:tcMar>
              <w:top w:w="40" w:type="dxa"/>
              <w:bottom w:w="40" w:type="dxa"/>
              <w:left w:w="80" w:type="dxa"/>
              <w:right w:w="80" w:type="dxa"/>
            </w:tcMar>
          </w:tcPr>
          <w:p>
            <w:pPr>
              <w:jc w:val="left"/>
            </w:pPr>
            <w:r>
              <w:rPr>
                <w:rFonts w:ascii="Times New Roman" w:hAnsi="Times New Roman"/>
                <w:b w:val="0"/>
                <w:i w:val="0"/>
                <w:color w:val="000000"/>
                <w:sz w:val="15"/>
              </w:rPr>
              <w:t>95% Wilson Conf. Interval</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[0.762, 0.779]</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[0.971, 0.992]</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[0.865, 0.879]</w:t>
            </w:r>
          </w:p>
        </w:tc>
      </w:tr>
      <w:tr>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Separated Individuals</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205,379</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192,905</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398,284</w:t>
            </w:r>
          </w:p>
        </w:tc>
      </w:tr>
      <w:tr>
        <w:tc>
          <w:tcPr>
            <w:tcW w:type="dxa" w:w="2610"/>
            <w:tcMar>
              <w:top w:w="40" w:type="dxa"/>
              <w:bottom w:w="40" w:type="dxa"/>
              <w:left w:w="80" w:type="dxa"/>
              <w:right w:w="80" w:type="dxa"/>
            </w:tcMar>
          </w:tcPr>
          <w:p>
            <w:pPr>
              <w:jc w:val="left"/>
            </w:pPr>
            <w:r>
              <w:rPr>
                <w:rFonts w:ascii="Times New Roman" w:hAnsi="Times New Roman"/>
                <w:b w:val="0"/>
                <w:i w:val="0"/>
                <w:color w:val="000000"/>
                <w:sz w:val="15"/>
              </w:rPr>
              <w:t>Separation Rate (per 1,000)</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5.52</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5.52</w:t>
            </w:r>
          </w:p>
        </w:tc>
        <w:tc>
          <w:tcPr>
            <w:tcW w:type="dxa" w:w="2610"/>
            <w:tcMar>
              <w:top w:w="40" w:type="dxa"/>
              <w:bottom w:w="40" w:type="dxa"/>
              <w:left w:w="80" w:type="dxa"/>
              <w:right w:w="80" w:type="dxa"/>
            </w:tcMar>
          </w:tcPr>
          <w:p>
            <w:pPr>
              <w:jc w:val="center"/>
            </w:pPr>
            <w:r>
              <w:rPr>
                <w:rFonts w:ascii="Times New Roman" w:hAnsi="Times New Roman"/>
                <w:b w:val="0"/>
                <w:i w:val="0"/>
                <w:color w:val="000000"/>
                <w:sz w:val="15"/>
              </w:rPr>
              <w:t>5.52</w:t>
            </w:r>
          </w:p>
        </w:tc>
      </w:tr>
      <w:tr>
        <w:tc>
          <w:tcPr>
            <w:tcW w:type="dxa" w:w="2610"/>
            <w:tcMar>
              <w:top w:w="40" w:type="dxa"/>
              <w:bottom w:w="40" w:type="dxa"/>
              <w:left w:w="80" w:type="dxa"/>
              <w:right w:w="80" w:type="dxa"/>
            </w:tcMar>
            <w:shd w:fill="F8F9FA"/>
          </w:tcPr>
          <w:p>
            <w:pPr>
              <w:jc w:val="left"/>
            </w:pPr>
            <w:r>
              <w:rPr>
                <w:rFonts w:ascii="Times New Roman" w:hAnsi="Times New Roman"/>
                <w:b w:val="0"/>
                <w:i w:val="0"/>
                <w:color w:val="000000"/>
                <w:sz w:val="15"/>
              </w:rPr>
              <w:t>Welch's t-test Statistic</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t = -2.17</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p = 0.038</w:t>
            </w:r>
          </w:p>
        </w:tc>
        <w:tc>
          <w:tcPr>
            <w:tcW w:type="dxa" w:w="2610"/>
            <w:tcMar>
              <w:top w:w="40" w:type="dxa"/>
              <w:bottom w:w="40" w:type="dxa"/>
              <w:left w:w="80" w:type="dxa"/>
              <w:right w:w="80" w:type="dxa"/>
            </w:tcMar>
            <w:shd w:fill="F8F9FA"/>
          </w:tcPr>
          <w:p>
            <w:pPr>
              <w:jc w:val="center"/>
            </w:pPr>
            <w:r>
              <w:rPr>
                <w:rFonts w:ascii="Times New Roman" w:hAnsi="Times New Roman"/>
                <w:b w:val="0"/>
                <w:i w:val="0"/>
                <w:color w:val="000000"/>
                <w:sz w:val="15"/>
              </w:rPr>
              <w:t>Cohen's d = 0.54</w:t>
            </w:r>
          </w:p>
        </w:tc>
      </w:tr>
    </w:tbl>
    <w:p>
      <w:pPr>
        <w:keepNext/>
        <w:spacing w:before="160" w:after="40"/>
        <w:jc w:val="left"/>
      </w:pPr>
      <w:r>
        <w:rPr>
          <w:rFonts w:ascii="Times New Roman" w:hAnsi="Times New Roman"/>
          <w:b/>
          <w:i/>
          <w:color w:val="142850"/>
          <w:sz w:val="20"/>
        </w:rPr>
        <w:t>B. Spatial Hotspot Distribution</w:t>
      </w:r>
    </w:p>
    <w:p>
      <w:pPr>
        <w:spacing w:line="252" w:lineRule="auto" w:after="80" w:before="0"/>
        <w:jc w:val="both"/>
      </w:pPr>
      <w:r>
        <w:rPr>
          <w:rFonts w:ascii="Times New Roman" w:hAnsi="Times New Roman"/>
          <w:b w:val="0"/>
          <w:i w:val="0"/>
          <w:color w:val="000000"/>
          <w:sz w:val="19"/>
        </w:rPr>
        <w:t>District-level mapping identified marked spatial clustering across Tamil Nadu:</w:t>
        <w:br/>
        <w:t>1) Primary Divorce Hotspots (Highest Rates per 1,000): Kanniyakumari (1.37), Chennai (1.29), The Nilgiris (1.21), Coimbatore (1.18), and Kancheepuram (1.08).</w:t>
        <w:br/>
        <w:t>2) Low-Prevalence Coldspots: Dharmapuri (0.42), Ariyalur (0.46), Viluppuram (0.51), Perambalur (0.53), and Tiruvannamalai (0.56).</w:t>
        <w:br/>
        <w:t>Hotspots are concentrated in high-literacy, industrialized coastal and urban corridors, whereas interior agrarian districts exhibit low formal dissolution rates. In the Vellore region, the standardized divorce rate stood at 0.79 per 1,000, reflecting a transition zone between the northern metropolitan belt and western agrarian plains.</w:t>
      </w:r>
    </w:p>
    <w:p>
      <w:pPr>
        <w:keepNext/>
        <w:spacing w:before="160" w:after="40"/>
        <w:jc w:val="left"/>
      </w:pPr>
      <w:r>
        <w:rPr>
          <w:rFonts w:ascii="Times New Roman" w:hAnsi="Times New Roman"/>
          <w:b/>
          <w:i/>
          <w:color w:val="142850"/>
          <w:sz w:val="20"/>
        </w:rPr>
        <w:t>C. Judicial Workload, COVID-19 Structural Shock &amp; Pendency</w:t>
      </w:r>
    </w:p>
    <w:p>
      <w:pPr>
        <w:spacing w:line="252" w:lineRule="auto" w:after="80" w:before="0"/>
        <w:jc w:val="both"/>
      </w:pPr>
      <w:r>
        <w:rPr>
          <w:rFonts w:ascii="Times New Roman" w:hAnsi="Times New Roman"/>
          <w:b w:val="0"/>
          <w:i w:val="0"/>
          <w:color w:val="000000"/>
          <w:sz w:val="19"/>
        </w:rPr>
        <w:t>Analysis of annual filings across Tamil Nadu's 40 Family Courts demonstrated an average baseline demand of ~34,000 filings annually. In 2020, pandemic lockdowns caused filings to plummet by 37.8% (from 35,420 to 22,015). Disposals contracted by 46.7% (to 16,195), causing the clearance rate to collapse to 73.6% and pending caseload to surge by 13.3% (accumulating to 32,840 cases).</w:t>
      </w:r>
    </w:p>
    <w:p>
      <w:pPr>
        <w:spacing w:line="252" w:lineRule="auto" w:after="80" w:before="0"/>
        <w:jc w:val="both"/>
      </w:pPr>
      <w:r>
        <w:rPr>
          <w:rFonts w:ascii="Times New Roman" w:hAnsi="Times New Roman"/>
          <w:b w:val="0"/>
          <w:i w:val="0"/>
          <w:color w:val="000000"/>
          <w:sz w:val="19"/>
        </w:rPr>
        <w:t>Kaplan-Meier survival analysis of active pending cases revealed:</w:t>
        <w:br/>
        <w:t>• Probability of pending &gt; 1 year: S(1) = 0.642</w:t>
        <w:br/>
        <w:t>• Probability of pending &gt; 3 years: S(3) = 0.318</w:t>
        <w:br/>
        <w:t>• Probability of pending &gt; 5 years: S(5) = 0.122</w:t>
        <w:br/>
        <w:t>• Probability of pending &gt; 10 years: S(10) = 0.016</w:t>
        <w:br/>
        <w:t>• Median Pendency Duration: 1.9 years. While 68.2% of matrimonial petitions resolve within 3 years, chronic procedural delays affect a 12.2% long-tail backlog.</w:t>
      </w:r>
    </w:p>
    <w:p>
      <w:pPr>
        <w:keepNext/>
        <w:spacing w:before="160" w:after="60"/>
        <w:jc w:val="center"/>
      </w:pPr>
      <w:r>
        <w:rPr>
          <w:rFonts w:ascii="Times New Roman" w:hAnsi="Times New Roman"/>
          <w:b/>
          <w:i w:val="0"/>
          <w:color w:val="142850"/>
          <w:sz w:val="17"/>
        </w:rPr>
        <w:t>TABLE III</w:t>
        <w:br/>
        <w:t>WORKLOAD FORECASTING MODEL EVALUATION (HOLDOUT 2023–2024)</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2088"/>
        <w:gridCol w:w="2088"/>
        <w:gridCol w:w="2088"/>
        <w:gridCol w:w="2088"/>
        <w:gridCol w:w="2088"/>
      </w:tblGrid>
      <w:tr>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Forecasting Model</w:t>
            </w:r>
          </w:p>
        </w:tc>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Test MAE</w:t>
            </w:r>
          </w:p>
        </w:tc>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Test RMSE</w:t>
            </w:r>
          </w:p>
        </w:tc>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Test MAPE (%)</w:t>
            </w:r>
          </w:p>
        </w:tc>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Ranking</w:t>
            </w:r>
          </w:p>
        </w:tc>
      </w:tr>
      <w:tr>
        <w:tc>
          <w:tcPr>
            <w:tcW w:type="dxa" w:w="2088"/>
            <w:tcMar>
              <w:top w:w="40" w:type="dxa"/>
              <w:bottom w:w="40" w:type="dxa"/>
              <w:left w:w="80" w:type="dxa"/>
              <w:right w:w="80" w:type="dxa"/>
            </w:tcMar>
            <w:shd w:fill="F8F9FA"/>
          </w:tcPr>
          <w:p>
            <w:pPr>
              <w:jc w:val="left"/>
            </w:pPr>
            <w:r>
              <w:rPr>
                <w:rFonts w:ascii="Times New Roman" w:hAnsi="Times New Roman"/>
                <w:b w:val="0"/>
                <w:i w:val="0"/>
                <w:color w:val="000000"/>
                <w:sz w:val="15"/>
              </w:rPr>
              <w:t>ARIMA(1, 1, 0)</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2,741.5</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2,893.2</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8.01%</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1 (Best)</w:t>
            </w:r>
          </w:p>
        </w:tc>
      </w:tr>
      <w:tr>
        <w:tc>
          <w:tcPr>
            <w:tcW w:type="dxa" w:w="2088"/>
            <w:tcMar>
              <w:top w:w="40" w:type="dxa"/>
              <w:bottom w:w="40" w:type="dxa"/>
              <w:left w:w="80" w:type="dxa"/>
              <w:right w:w="80" w:type="dxa"/>
            </w:tcMar>
          </w:tcPr>
          <w:p>
            <w:pPr>
              <w:jc w:val="left"/>
            </w:pPr>
            <w:r>
              <w:rPr>
                <w:rFonts w:ascii="Times New Roman" w:hAnsi="Times New Roman"/>
                <w:b w:val="0"/>
                <w:i w:val="0"/>
                <w:color w:val="000000"/>
                <w:sz w:val="15"/>
              </w:rPr>
              <w:t>Holt Exponential Smoothing</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3,114.2</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3,420.8</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9.12%</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2</w:t>
            </w:r>
          </w:p>
        </w:tc>
      </w:tr>
      <w:tr>
        <w:tc>
          <w:tcPr>
            <w:tcW w:type="dxa" w:w="2088"/>
            <w:tcMar>
              <w:top w:w="40" w:type="dxa"/>
              <w:bottom w:w="40" w:type="dxa"/>
              <w:left w:w="80" w:type="dxa"/>
              <w:right w:w="80" w:type="dxa"/>
            </w:tcMar>
            <w:shd w:fill="F8F9FA"/>
          </w:tcPr>
          <w:p>
            <w:pPr>
              <w:jc w:val="left"/>
            </w:pPr>
            <w:r>
              <w:rPr>
                <w:rFonts w:ascii="Times New Roman" w:hAnsi="Times New Roman"/>
                <w:b w:val="0"/>
                <w:i w:val="0"/>
                <w:color w:val="000000"/>
                <w:sz w:val="15"/>
              </w:rPr>
              <w:t>Poisson Count GLM</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3,450.0</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3,712.1</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10.15%</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3</w:t>
            </w:r>
          </w:p>
        </w:tc>
      </w:tr>
      <w:tr>
        <w:tc>
          <w:tcPr>
            <w:tcW w:type="dxa" w:w="2088"/>
            <w:tcMar>
              <w:top w:w="40" w:type="dxa"/>
              <w:bottom w:w="40" w:type="dxa"/>
              <w:left w:w="80" w:type="dxa"/>
              <w:right w:w="80" w:type="dxa"/>
            </w:tcMar>
          </w:tcPr>
          <w:p>
            <w:pPr>
              <w:jc w:val="left"/>
            </w:pPr>
            <w:r>
              <w:rPr>
                <w:rFonts w:ascii="Times New Roman" w:hAnsi="Times New Roman"/>
                <w:b w:val="0"/>
                <w:i w:val="0"/>
                <w:color w:val="000000"/>
                <w:sz w:val="15"/>
              </w:rPr>
              <w:t>Moving Average (Window = 2)</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4,210.5</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4,510.3</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12.35%</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4</w:t>
            </w:r>
          </w:p>
        </w:tc>
      </w:tr>
      <w:tr>
        <w:tc>
          <w:tcPr>
            <w:tcW w:type="dxa" w:w="2088"/>
            <w:tcMar>
              <w:top w:w="40" w:type="dxa"/>
              <w:bottom w:w="40" w:type="dxa"/>
              <w:left w:w="80" w:type="dxa"/>
              <w:right w:w="80" w:type="dxa"/>
            </w:tcMar>
            <w:shd w:fill="F8F9FA"/>
          </w:tcPr>
          <w:p>
            <w:pPr>
              <w:jc w:val="left"/>
            </w:pPr>
            <w:r>
              <w:rPr>
                <w:rFonts w:ascii="Times New Roman" w:hAnsi="Times New Roman"/>
                <w:b w:val="0"/>
                <w:i w:val="0"/>
                <w:color w:val="000000"/>
                <w:sz w:val="15"/>
              </w:rPr>
              <w:t>Naive Baseline</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4,890.0</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5,120.4</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14.33%</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5</w:t>
            </w:r>
          </w:p>
        </w:tc>
      </w:tr>
    </w:tbl>
    <w:p>
      <w:pPr>
        <w:spacing w:line="252" w:lineRule="auto" w:after="80" w:before="0"/>
        <w:jc w:val="both"/>
      </w:pPr>
      <w:r>
        <w:rPr>
          <w:rFonts w:ascii="Times New Roman" w:hAnsi="Times New Roman"/>
          <w:b w:val="0"/>
          <w:i w:val="0"/>
          <w:color w:val="000000"/>
          <w:sz w:val="19"/>
        </w:rPr>
        <w:t>ARIMA(1, 1, 0) achieved the lowest out-of-sample holdout MAPE (8.01%), outperforming smoothing heuristics and count regressions. Point forecasts project statewide filings of 34,232 in 2025 (95% PI: [30,850; 37,614]) and 34,480 in 2026.</w:t>
      </w:r>
    </w:p>
    <w:p>
      <w:pPr>
        <w:keepNext/>
        <w:spacing w:before="160" w:after="40"/>
        <w:jc w:val="left"/>
      </w:pPr>
      <w:r>
        <w:rPr>
          <w:rFonts w:ascii="Times New Roman" w:hAnsi="Times New Roman"/>
          <w:b/>
          <w:i/>
          <w:color w:val="142850"/>
          <w:sz w:val="20"/>
        </w:rPr>
        <w:t>D. Petition Outcome Classification Benchmarks</w:t>
      </w:r>
    </w:p>
    <w:p>
      <w:pPr>
        <w:spacing w:line="252" w:lineRule="auto" w:after="80" w:before="0"/>
        <w:jc w:val="both"/>
      </w:pPr>
      <w:r>
        <w:rPr>
          <w:rFonts w:ascii="Times New Roman" w:hAnsi="Times New Roman"/>
          <w:b w:val="0"/>
          <w:i w:val="0"/>
          <w:color w:val="000000"/>
          <w:sz w:val="19"/>
        </w:rPr>
        <w:t>Candidate classifiers trained strictly on pre-filing attributes yielded the following holdout evaluation metrics:</w:t>
      </w:r>
    </w:p>
    <w:p>
      <w:pPr>
        <w:keepNext/>
        <w:spacing w:before="160" w:after="60"/>
        <w:jc w:val="center"/>
      </w:pPr>
      <w:r>
        <w:rPr>
          <w:rFonts w:ascii="Times New Roman" w:hAnsi="Times New Roman"/>
          <w:b/>
          <w:i w:val="0"/>
          <w:color w:val="142850"/>
          <w:sz w:val="17"/>
        </w:rPr>
        <w:t>TABLE IV</w:t>
        <w:br/>
        <w:t>SUPERVISED MACHINE LEARNING BENCHMARK (PRE-FILING FEATURES ONLY)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2088"/>
        <w:gridCol w:w="2088"/>
        <w:gridCol w:w="2088"/>
        <w:gridCol w:w="2088"/>
        <w:gridCol w:w="2088"/>
      </w:tblGrid>
      <w:tr>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Model Architecture</w:t>
            </w:r>
          </w:p>
        </w:tc>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Accuracy</w:t>
            </w:r>
          </w:p>
        </w:tc>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Balanced Acc.</w:t>
            </w:r>
          </w:p>
        </w:tc>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Macro F1</w:t>
            </w:r>
          </w:p>
        </w:tc>
        <w:tc>
          <w:tcPr>
            <w:tcW w:type="dxa" w:w="2088"/>
            <w:shd w:fill="E9ECEF"/>
            <w:tcMar>
              <w:top w:w="60" w:type="dxa"/>
              <w:bottom w:w="60" w:type="dxa"/>
              <w:left w:w="80" w:type="dxa"/>
              <w:right w:w="80" w:type="dxa"/>
            </w:tcMar>
          </w:tcPr>
          <w:p>
            <w:pPr>
              <w:jc w:val="center"/>
            </w:pPr>
            <w:r>
              <w:rPr>
                <w:rFonts w:ascii="Times New Roman" w:hAnsi="Times New Roman"/>
                <w:b/>
                <w:i w:val="0"/>
                <w:color w:val="000000"/>
                <w:sz w:val="16"/>
              </w:rPr>
              <w:t>Brier Score</w:t>
            </w:r>
          </w:p>
        </w:tc>
      </w:tr>
      <w:tr>
        <w:tc>
          <w:tcPr>
            <w:tcW w:type="dxa" w:w="2088"/>
            <w:tcMar>
              <w:top w:w="40" w:type="dxa"/>
              <w:bottom w:w="40" w:type="dxa"/>
              <w:left w:w="80" w:type="dxa"/>
              <w:right w:w="80" w:type="dxa"/>
            </w:tcMar>
            <w:shd w:fill="F8F9FA"/>
          </w:tcPr>
          <w:p>
            <w:pPr>
              <w:jc w:val="left"/>
            </w:pPr>
            <w:r>
              <w:rPr>
                <w:rFonts w:ascii="Times New Roman" w:hAnsi="Times New Roman"/>
                <w:b w:val="0"/>
                <w:i w:val="0"/>
                <w:color w:val="000000"/>
                <w:sz w:val="15"/>
              </w:rPr>
              <w:t>Random Forest Classifier</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72.3%</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71.1%</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0.684</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0.182</w:t>
            </w:r>
          </w:p>
        </w:tc>
      </w:tr>
      <w:tr>
        <w:tc>
          <w:tcPr>
            <w:tcW w:type="dxa" w:w="2088"/>
            <w:tcMar>
              <w:top w:w="40" w:type="dxa"/>
              <w:bottom w:w="40" w:type="dxa"/>
              <w:left w:w="80" w:type="dxa"/>
              <w:right w:w="80" w:type="dxa"/>
            </w:tcMar>
          </w:tcPr>
          <w:p>
            <w:pPr>
              <w:jc w:val="left"/>
            </w:pPr>
            <w:r>
              <w:rPr>
                <w:rFonts w:ascii="Times New Roman" w:hAnsi="Times New Roman"/>
                <w:b w:val="0"/>
                <w:i w:val="0"/>
                <w:color w:val="000000"/>
                <w:sz w:val="15"/>
              </w:rPr>
              <w:t>Regularized Logistic Reg.</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68.7%</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65.4%</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0.621</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0.204</w:t>
            </w:r>
          </w:p>
        </w:tc>
      </w:tr>
      <w:tr>
        <w:tc>
          <w:tcPr>
            <w:tcW w:type="dxa" w:w="2088"/>
            <w:tcMar>
              <w:top w:w="40" w:type="dxa"/>
              <w:bottom w:w="40" w:type="dxa"/>
              <w:left w:w="80" w:type="dxa"/>
              <w:right w:w="80" w:type="dxa"/>
            </w:tcMar>
            <w:shd w:fill="F8F9FA"/>
          </w:tcPr>
          <w:p>
            <w:pPr>
              <w:jc w:val="left"/>
            </w:pPr>
            <w:r>
              <w:rPr>
                <w:rFonts w:ascii="Times New Roman" w:hAnsi="Times New Roman"/>
                <w:b w:val="0"/>
                <w:i w:val="0"/>
                <w:color w:val="000000"/>
                <w:sz w:val="15"/>
              </w:rPr>
              <w:t>Decision Tree Classifier</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66.0%</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63.8%</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0.598</w:t>
            </w:r>
          </w:p>
        </w:tc>
        <w:tc>
          <w:tcPr>
            <w:tcW w:type="dxa" w:w="2088"/>
            <w:tcMar>
              <w:top w:w="40" w:type="dxa"/>
              <w:bottom w:w="40" w:type="dxa"/>
              <w:left w:w="80" w:type="dxa"/>
              <w:right w:w="80" w:type="dxa"/>
            </w:tcMar>
            <w:shd w:fill="F8F9FA"/>
          </w:tcPr>
          <w:p>
            <w:pPr>
              <w:jc w:val="center"/>
            </w:pPr>
            <w:r>
              <w:rPr>
                <w:rFonts w:ascii="Times New Roman" w:hAnsi="Times New Roman"/>
                <w:b w:val="0"/>
                <w:i w:val="0"/>
                <w:color w:val="000000"/>
                <w:sz w:val="15"/>
              </w:rPr>
              <w:t>0.231</w:t>
            </w:r>
          </w:p>
        </w:tc>
      </w:tr>
      <w:tr>
        <w:tc>
          <w:tcPr>
            <w:tcW w:type="dxa" w:w="2088"/>
            <w:tcMar>
              <w:top w:w="40" w:type="dxa"/>
              <w:bottom w:w="40" w:type="dxa"/>
              <w:left w:w="80" w:type="dxa"/>
              <w:right w:w="80" w:type="dxa"/>
            </w:tcMar>
          </w:tcPr>
          <w:p>
            <w:pPr>
              <w:jc w:val="left"/>
            </w:pPr>
            <w:r>
              <w:rPr>
                <w:rFonts w:ascii="Times New Roman" w:hAnsi="Times New Roman"/>
                <w:b w:val="0"/>
                <w:i w:val="0"/>
                <w:color w:val="000000"/>
                <w:sz w:val="15"/>
              </w:rPr>
              <w:t>Most-Frequent Baseline</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52.0%</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25.0%</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0.171</w:t>
            </w:r>
          </w:p>
        </w:tc>
        <w:tc>
          <w:tcPr>
            <w:tcW w:type="dxa" w:w="2088"/>
            <w:tcMar>
              <w:top w:w="40" w:type="dxa"/>
              <w:bottom w:w="40" w:type="dxa"/>
              <w:left w:w="80" w:type="dxa"/>
              <w:right w:w="80" w:type="dxa"/>
            </w:tcMar>
          </w:tcPr>
          <w:p>
            <w:pPr>
              <w:jc w:val="center"/>
            </w:pPr>
            <w:r>
              <w:rPr>
                <w:rFonts w:ascii="Times New Roman" w:hAnsi="Times New Roman"/>
                <w:b w:val="0"/>
                <w:i w:val="0"/>
                <w:color w:val="000000"/>
                <w:sz w:val="15"/>
              </w:rPr>
              <w:t>0.480</w:t>
            </w:r>
          </w:p>
        </w:tc>
      </w:tr>
    </w:tbl>
    <w:p>
      <w:pPr>
        <w:spacing w:line="252" w:lineRule="auto" w:after="80" w:before="0"/>
        <w:jc w:val="both"/>
      </w:pPr>
      <w:r>
        <w:rPr>
          <w:rFonts w:ascii="Times New Roman" w:hAnsi="Times New Roman"/>
          <w:b w:val="0"/>
          <w:i w:val="0"/>
          <w:color w:val="000000"/>
          <w:sz w:val="19"/>
        </w:rPr>
        <w:t>Random Forest achieved the highest Balanced Accuracy (71.1%) and Macro F1 score (0.684). Feature importance analysis revealed that legal_statute (Mutual Consent HMA 13B vs. Fault-based HMA 13(1)) accounted for 48.2% of predictive importance, followed by marriage_duration_years (22.4%), counsel_represented (14.1%), and has_minor_children (9.8%).</w:t>
      </w:r>
    </w:p>
    <w:p>
      <w:pPr>
        <w:keepNext/>
        <w:spacing w:before="240" w:after="80"/>
        <w:jc w:val="center"/>
      </w:pPr>
      <w:r>
        <w:rPr>
          <w:rFonts w:ascii="Times New Roman" w:hAnsi="Times New Roman"/>
          <w:b/>
          <w:i w:val="0"/>
          <w:color w:val="1E3C6E"/>
          <w:sz w:val="20"/>
        </w:rPr>
        <w:t>VII. VISUALIZATIONS &amp; ARTIFACTS</w:t>
      </w:r>
    </w:p>
    <w:p>
      <w:pPr>
        <w:spacing w:line="252" w:lineRule="auto" w:after="80" w:before="0"/>
        <w:jc w:val="both"/>
      </w:pPr>
      <w:r>
        <w:rPr>
          <w:rFonts w:ascii="Times New Roman" w:hAnsi="Times New Roman"/>
          <w:b w:val="0"/>
          <w:i w:val="0"/>
          <w:color w:val="000000"/>
          <w:sz w:val="19"/>
        </w:rPr>
        <w:t>The empirical findings are supported by high-resolution analytical figures generated directly from the experimental pipeline:</w:t>
      </w:r>
    </w:p>
    <w:p>
      <w:pPr>
        <w:keepNext/>
        <w:spacing w:before="160" w:after="60"/>
        <w:jc w:val="center"/>
      </w:pPr>
      <w:r>
        <w:drawing>
          <wp:inline xmlns:a="http://schemas.openxmlformats.org/drawingml/2006/main" xmlns:pic="http://schemas.openxmlformats.org/drawingml/2006/picture">
            <wp:extent cx="3063240" cy="1531620"/>
            <wp:docPr id="1" name="Picture 1"/>
            <wp:cNvGraphicFramePr>
              <a:graphicFrameLocks noChangeAspect="1"/>
            </wp:cNvGraphicFramePr>
            <a:graphic>
              <a:graphicData uri="http://schemas.openxmlformats.org/drawingml/2006/picture">
                <pic:pic>
                  <pic:nvPicPr>
                    <pic:cNvPr id="0" name="figure_1_judicial_trends_covid.png"/>
                    <pic:cNvPicPr/>
                  </pic:nvPicPr>
                  <pic:blipFill>
                    <a:blip r:embed="rId9"/>
                    <a:stretch>
                      <a:fillRect/>
                    </a:stretch>
                  </pic:blipFill>
                  <pic:spPr>
                    <a:xfrm>
                      <a:off x="0" y="0"/>
                      <a:ext cx="3063240" cy="1531620"/>
                    </a:xfrm>
                    <a:prstGeom prst="rect"/>
                  </pic:spPr>
                </pic:pic>
              </a:graphicData>
            </a:graphic>
          </wp:inline>
        </w:drawing>
      </w:r>
    </w:p>
    <w:p>
      <w:pPr>
        <w:spacing w:before="40" w:after="160"/>
        <w:jc w:val="both"/>
      </w:pPr>
      <w:r>
        <w:rPr>
          <w:rFonts w:ascii="Times New Roman" w:hAnsi="Times New Roman"/>
          <w:b/>
          <w:i w:val="0"/>
          <w:color w:val="000000"/>
          <w:sz w:val="17"/>
        </w:rPr>
        <w:t xml:space="preserve">Fig. 1. </w:t>
      </w:r>
      <w:r>
        <w:rPr>
          <w:rFonts w:ascii="Times New Roman" w:hAnsi="Times New Roman"/>
          <w:b w:val="0"/>
          <w:i w:val="0"/>
          <w:color w:val="000000"/>
          <w:sz w:val="17"/>
        </w:rPr>
        <w:t>Longitudinal court filings, disposals, and pendency dynamics (2018–2024) highlighting the 2020 COVID structural shock across Tamil Nadu Family Courts.</w:t>
      </w:r>
    </w:p>
    <w:p>
      <w:pPr>
        <w:keepNext/>
        <w:spacing w:before="160" w:after="60"/>
        <w:jc w:val="center"/>
      </w:pPr>
      <w:r>
        <w:drawing>
          <wp:inline xmlns:a="http://schemas.openxmlformats.org/drawingml/2006/main" xmlns:pic="http://schemas.openxmlformats.org/drawingml/2006/picture">
            <wp:extent cx="3063240" cy="1531620"/>
            <wp:docPr id="2" name="Picture 2"/>
            <wp:cNvGraphicFramePr>
              <a:graphicFrameLocks noChangeAspect="1"/>
            </wp:cNvGraphicFramePr>
            <a:graphic>
              <a:graphicData uri="http://schemas.openxmlformats.org/drawingml/2006/picture">
                <pic:pic>
                  <pic:nvPicPr>
                    <pic:cNvPr id="0" name="figure_2_demographic_age_sex_disparity.png"/>
                    <pic:cNvPicPr/>
                  </pic:nvPicPr>
                  <pic:blipFill>
                    <a:blip r:embed="rId10"/>
                    <a:stretch>
                      <a:fillRect/>
                    </a:stretch>
                  </pic:blipFill>
                  <pic:spPr>
                    <a:xfrm>
                      <a:off x="0" y="0"/>
                      <a:ext cx="3063240" cy="1531620"/>
                    </a:xfrm>
                    <a:prstGeom prst="rect"/>
                  </pic:spPr>
                </pic:pic>
              </a:graphicData>
            </a:graphic>
          </wp:inline>
        </w:drawing>
      </w:r>
    </w:p>
    <w:p>
      <w:pPr>
        <w:spacing w:before="40" w:after="160"/>
        <w:jc w:val="both"/>
      </w:pPr>
      <w:r>
        <w:rPr>
          <w:rFonts w:ascii="Times New Roman" w:hAnsi="Times New Roman"/>
          <w:b/>
          <w:i w:val="0"/>
          <w:color w:val="000000"/>
          <w:sz w:val="17"/>
        </w:rPr>
        <w:t xml:space="preserve">Fig. 2. </w:t>
      </w:r>
      <w:r>
        <w:rPr>
          <w:rFonts w:ascii="Times New Roman" w:hAnsi="Times New Roman"/>
          <w:b w:val="0"/>
          <w:i w:val="0"/>
          <w:color w:val="000000"/>
          <w:sz w:val="17"/>
        </w:rPr>
        <w:t>Age-bracket demographic distribution and biological sex disparity (2.54:1 ratio) enumerated across Tamil Nadu districts.</w:t>
      </w:r>
    </w:p>
    <w:p>
      <w:pPr>
        <w:keepNext/>
        <w:spacing w:before="160" w:after="60"/>
        <w:jc w:val="center"/>
      </w:pPr>
      <w:r>
        <w:drawing>
          <wp:inline xmlns:a="http://schemas.openxmlformats.org/drawingml/2006/main" xmlns:pic="http://schemas.openxmlformats.org/drawingml/2006/picture">
            <wp:extent cx="3063240" cy="3829050"/>
            <wp:docPr id="3" name="Picture 3"/>
            <wp:cNvGraphicFramePr>
              <a:graphicFrameLocks noChangeAspect="1"/>
            </wp:cNvGraphicFramePr>
            <a:graphic>
              <a:graphicData uri="http://schemas.openxmlformats.org/drawingml/2006/picture">
                <pic:pic>
                  <pic:nvPicPr>
                    <pic:cNvPr id="0" name="figure_3_district_pendency_distribution.png"/>
                    <pic:cNvPicPr/>
                  </pic:nvPicPr>
                  <pic:blipFill>
                    <a:blip r:embed="rId11"/>
                    <a:stretch>
                      <a:fillRect/>
                    </a:stretch>
                  </pic:blipFill>
                  <pic:spPr>
                    <a:xfrm>
                      <a:off x="0" y="0"/>
                      <a:ext cx="3063240" cy="3829050"/>
                    </a:xfrm>
                    <a:prstGeom prst="rect"/>
                  </pic:spPr>
                </pic:pic>
              </a:graphicData>
            </a:graphic>
          </wp:inline>
        </w:drawing>
      </w:r>
    </w:p>
    <w:p>
      <w:pPr>
        <w:spacing w:before="40" w:after="160"/>
        <w:jc w:val="both"/>
      </w:pPr>
      <w:r>
        <w:rPr>
          <w:rFonts w:ascii="Times New Roman" w:hAnsi="Times New Roman"/>
          <w:b/>
          <w:i w:val="0"/>
          <w:color w:val="000000"/>
          <w:sz w:val="17"/>
        </w:rPr>
        <w:t xml:space="preserve">Fig. 3. </w:t>
      </w:r>
      <w:r>
        <w:rPr>
          <w:rFonts w:ascii="Times New Roman" w:hAnsi="Times New Roman"/>
          <w:b w:val="0"/>
          <w:i w:val="0"/>
          <w:color w:val="000000"/>
          <w:sz w:val="17"/>
        </w:rPr>
        <w:t>Choropleth spatial distribution of district-wise matrimonial case pendency across Tamil Nadu's 38 standardized jurisdictions.</w:t>
      </w:r>
    </w:p>
    <w:p>
      <w:pPr>
        <w:keepNext/>
        <w:spacing w:before="160" w:after="60"/>
        <w:jc w:val="center"/>
      </w:pPr>
      <w:r>
        <w:drawing>
          <wp:inline xmlns:a="http://schemas.openxmlformats.org/drawingml/2006/main" xmlns:pic="http://schemas.openxmlformats.org/drawingml/2006/picture">
            <wp:extent cx="3063240" cy="1914525"/>
            <wp:docPr id="4" name="Picture 4"/>
            <wp:cNvGraphicFramePr>
              <a:graphicFrameLocks noChangeAspect="1"/>
            </wp:cNvGraphicFramePr>
            <a:graphic>
              <a:graphicData uri="http://schemas.openxmlformats.org/drawingml/2006/picture">
                <pic:pic>
                  <pic:nvPicPr>
                    <pic:cNvPr id="0" name="figure_4_pendency_survival_curve.png"/>
                    <pic:cNvPicPr/>
                  </pic:nvPicPr>
                  <pic:blipFill>
                    <a:blip r:embed="rId12"/>
                    <a:stretch>
                      <a:fillRect/>
                    </a:stretch>
                  </pic:blipFill>
                  <pic:spPr>
                    <a:xfrm>
                      <a:off x="0" y="0"/>
                      <a:ext cx="3063240" cy="1914525"/>
                    </a:xfrm>
                    <a:prstGeom prst="rect"/>
                  </pic:spPr>
                </pic:pic>
              </a:graphicData>
            </a:graphic>
          </wp:inline>
        </w:drawing>
      </w:r>
    </w:p>
    <w:p>
      <w:pPr>
        <w:spacing w:before="40" w:after="160"/>
        <w:jc w:val="both"/>
      </w:pPr>
      <w:r>
        <w:rPr>
          <w:rFonts w:ascii="Times New Roman" w:hAnsi="Times New Roman"/>
          <w:b/>
          <w:i w:val="0"/>
          <w:color w:val="000000"/>
          <w:sz w:val="17"/>
        </w:rPr>
        <w:t xml:space="preserve">Fig. 4. </w:t>
      </w:r>
      <w:r>
        <w:rPr>
          <w:rFonts w:ascii="Times New Roman" w:hAnsi="Times New Roman"/>
          <w:b w:val="0"/>
          <w:i w:val="0"/>
          <w:color w:val="000000"/>
          <w:sz w:val="17"/>
        </w:rPr>
        <w:t>Kaplan-Meier survival curve S(t) illustrating case pendency decay across duration cohorts, showing a median resolution timeline of 1.9 years.</w:t>
      </w:r>
    </w:p>
    <w:p>
      <w:pPr>
        <w:keepNext/>
        <w:spacing w:before="240" w:after="80"/>
        <w:jc w:val="center"/>
      </w:pPr>
      <w:r>
        <w:rPr>
          <w:rFonts w:ascii="Times New Roman" w:hAnsi="Times New Roman"/>
          <w:b/>
          <w:i w:val="0"/>
          <w:color w:val="1E3C6E"/>
          <w:sz w:val="20"/>
        </w:rPr>
        <w:t>VIII. ETHICAL GOVERNANCE &amp; POLICY IMPLICATIONS</w:t>
      </w:r>
    </w:p>
    <w:p>
      <w:pPr>
        <w:keepNext/>
        <w:spacing w:before="160" w:after="40"/>
        <w:jc w:val="left"/>
      </w:pPr>
      <w:r>
        <w:rPr>
          <w:rFonts w:ascii="Times New Roman" w:hAnsi="Times New Roman"/>
          <w:b/>
          <w:i/>
          <w:color w:val="142850"/>
          <w:sz w:val="20"/>
        </w:rPr>
        <w:t>A. Ecological Fallacy &amp; Governance Protocol</w:t>
      </w:r>
    </w:p>
    <w:p>
      <w:pPr>
        <w:spacing w:line="252" w:lineRule="auto" w:after="80" w:before="0"/>
        <w:jc w:val="both"/>
      </w:pPr>
      <w:r>
        <w:rPr>
          <w:rFonts w:ascii="Times New Roman" w:hAnsi="Times New Roman"/>
          <w:b w:val="0"/>
          <w:i w:val="0"/>
          <w:color w:val="000000"/>
          <w:sz w:val="19"/>
        </w:rPr>
        <w:t>A central methodological principle of this research is mitigating the ecological fallacy: district-level correlation between divorce prevalence and court pendency (r = 0.41) does not establish individual behavioral causation. Furthermore, in strict adherence to ethical legal-tech governance standards, individualized probability predictions for public citizens are withheld from deployment. Predicting personal case success probabilities risks misleading vulnerable litigants on sensitive domestic matters. Machine learning classifiers operate strictly as academic simulation benchmarks for court resource planning.</w:t>
      </w:r>
    </w:p>
    <w:p>
      <w:pPr>
        <w:keepNext/>
        <w:spacing w:before="160" w:after="40"/>
        <w:jc w:val="left"/>
      </w:pPr>
      <w:r>
        <w:rPr>
          <w:rFonts w:ascii="Times New Roman" w:hAnsi="Times New Roman"/>
          <w:b/>
          <w:i/>
          <w:color w:val="142850"/>
          <w:sz w:val="20"/>
        </w:rPr>
        <w:t>B. Policy Capacity Recommendations</w:t>
      </w:r>
    </w:p>
    <w:p>
      <w:pPr>
        <w:spacing w:line="252" w:lineRule="auto" w:after="80" w:before="0"/>
        <w:jc w:val="both"/>
      </w:pPr>
      <w:r>
        <w:rPr>
          <w:rFonts w:ascii="Times New Roman" w:hAnsi="Times New Roman"/>
          <w:b w:val="0"/>
          <w:i w:val="0"/>
          <w:color w:val="000000"/>
          <w:sz w:val="19"/>
        </w:rPr>
        <w:t>Simulation of family court operational capacity indicates that each operational Family Court resolves an average of 853 cases annually. Establishing 5 additional Family Courts across high-backlog hotspots (e.g., Chennai, Coimbatore, Kancheepuram, Madurai) would inject 4,265 cases of annual disposal capacity, reducing pending backlog by 13.5% within 24 months. Expanding pre-litigation mediation counseling under Section 9 of the Family Courts Act, 1984 provides a cost-effective, conciliatory mechanism for mutual consent petitions.</w:t>
      </w:r>
    </w:p>
    <w:p>
      <w:pPr>
        <w:keepNext/>
        <w:spacing w:before="240" w:after="80"/>
        <w:jc w:val="center"/>
      </w:pPr>
      <w:r>
        <w:rPr>
          <w:rFonts w:ascii="Times New Roman" w:hAnsi="Times New Roman"/>
          <w:b/>
          <w:i w:val="0"/>
          <w:color w:val="1E3C6E"/>
          <w:sz w:val="20"/>
        </w:rPr>
        <w:t>IX. CONCLUSION &amp; FUTURE SCOPE</w:t>
      </w:r>
    </w:p>
    <w:p>
      <w:pPr>
        <w:spacing w:line="252" w:lineRule="auto" w:after="80" w:before="0"/>
        <w:jc w:val="both"/>
      </w:pPr>
      <w:r>
        <w:rPr>
          <w:rFonts w:ascii="Times New Roman" w:hAnsi="Times New Roman"/>
          <w:b w:val="0"/>
          <w:i w:val="0"/>
          <w:color w:val="000000"/>
          <w:sz w:val="19"/>
        </w:rPr>
        <w:t>This paper has presented an empirical, demographic, and predictive study of matrimonial dissolution and Family Court caseloads in Tamil Nadu, conducted at Vellore Institute of Technology (VIT), Vellore. By linking Census 2011 micro-tables with multi-year judicial administration returns, the study demonstrates that:</w:t>
        <w:br/>
        <w:t>1) Divorced stock in Tamil Nadu exhibits a severe 2.54:1 biological sex imbalance driven by remarriage asymmetries rather than true gender-specific breakdown differences.</w:t>
        <w:br/>
        <w:t>2) Urban districts experience significantly higher divorce prevalence (0.98 vs. 0.77 per 1,000; p = 0.038).</w:t>
        <w:br/>
        <w:t>3) The COVID-19 pandemic induced a severe structural backlog shock (+13.3% pendency) from which court clearance has gradually recovered.</w:t>
        <w:br/>
        <w:t>4) ARIMA(1, 1, 0) provides accurate macro caseload forecasting (8.01% holdout MAPE), projecting ~34,232 annual filings for 2025–2026.</w:t>
        <w:br/>
        <w:t>5) Case outcomes can be benchmarked with 71.1% balanced accuracy using pre-filing statutory features without temporal data leakage.</w:t>
      </w:r>
    </w:p>
    <w:p>
      <w:pPr>
        <w:spacing w:line="252" w:lineRule="auto" w:after="80" w:before="0"/>
        <w:jc w:val="both"/>
      </w:pPr>
      <w:r>
        <w:rPr>
          <w:rFonts w:ascii="Times New Roman" w:hAnsi="Times New Roman"/>
          <w:b w:val="0"/>
          <w:i w:val="0"/>
          <w:color w:val="000000"/>
          <w:sz w:val="19"/>
        </w:rPr>
        <w:t>Future research at VIT Vellore will focus on natural language processing of anonymous judicial decrees to assess the impact of Supreme Court mediation precedents (such as Amardeep Singh v. Harveen Kaur) on statutory cooling-off periods and disposition velocity.</w:t>
      </w:r>
    </w:p>
    <w:p>
      <w:pPr>
        <w:keepNext/>
        <w:spacing w:before="240" w:after="80"/>
        <w:jc w:val="center"/>
      </w:pPr>
      <w:r>
        <w:rPr>
          <w:rFonts w:ascii="Times New Roman" w:hAnsi="Times New Roman"/>
          <w:b/>
          <w:i w:val="0"/>
          <w:color w:val="1E3C6E"/>
          <w:sz w:val="20"/>
        </w:rPr>
        <w:t>ACKNOWLEDGMENT</w:t>
      </w:r>
    </w:p>
    <w:p>
      <w:pPr>
        <w:spacing w:line="252" w:lineRule="auto" w:after="80" w:before="0"/>
        <w:jc w:val="both"/>
      </w:pPr>
      <w:r>
        <w:rPr>
          <w:rFonts w:ascii="Times New Roman" w:hAnsi="Times New Roman"/>
          <w:b w:val="0"/>
          <w:i w:val="0"/>
          <w:color w:val="000000"/>
          <w:sz w:val="19"/>
        </w:rPr>
        <w:t>The authors express sincere gratitude to Vellore Institute of Technology (VIT), Vellore, the School of Computer Science and Engineering (SCOPE), and the School of Advanced Sciences (SAS) for providing institutional computing facilities and research support. We also acknowledge the Office of the Registrar General &amp; Census Commissioner of India (ORGI), the Ministry of Law and Justice, the Department of Justice, and the National Judicial Data Grid (NJDG) for maintaining transparent open data repositories.</w:t>
      </w:r>
    </w:p>
    <w:p>
      <w:pPr>
        <w:keepNext/>
        <w:spacing w:before="240" w:after="80"/>
        <w:jc w:val="center"/>
      </w:pPr>
      <w:r>
        <w:rPr>
          <w:rFonts w:ascii="Times New Roman" w:hAnsi="Times New Roman"/>
          <w:b/>
          <w:i w:val="0"/>
          <w:color w:val="1E3C6E"/>
          <w:sz w:val="20"/>
        </w:rPr>
        <w:t>ABBREVIATIONS</w:t>
      </w:r>
    </w:p>
    <w:p>
      <w:pPr>
        <w:spacing w:line="252" w:lineRule="auto" w:after="80" w:before="0"/>
        <w:jc w:val="both"/>
      </w:pPr>
      <w:r>
        <w:rPr>
          <w:rFonts w:ascii="Times New Roman" w:hAnsi="Times New Roman"/>
          <w:b w:val="0"/>
          <w:i w:val="0"/>
          <w:color w:val="000000"/>
          <w:sz w:val="19"/>
        </w:rPr>
        <w:t>ARIMA: Autoregressive Integrated Moving Average</w:t>
        <w:br/>
        <w:t>DoJ: Department of Justice, Ministry of Law and Justice</w:t>
        <w:br/>
        <w:t>GLM: Generalized Linear Model</w:t>
        <w:br/>
        <w:t>HMA: Hindu Marriage Act, 1955</w:t>
        <w:br/>
        <w:t>MAPE: Mean Absolute Percentage Error</w:t>
        <w:br/>
        <w:t>NJDG: National Judicial Data Grid</w:t>
        <w:br/>
        <w:t>ORGI: Office of the Registrar General and Census Commissioner, India</w:t>
        <w:br/>
        <w:t>PI: Prediction Interval</w:t>
        <w:br/>
        <w:t>SMA: Special Marriage Act, 1954</w:t>
        <w:br/>
        <w:t>TNSLSA: Tamil Nadu State Legal Services Authority</w:t>
        <w:br/>
        <w:t>VIT: Vellore Institute of Technology</w:t>
      </w:r>
    </w:p>
    <w:p>
      <w:pPr>
        <w:keepNext/>
        <w:spacing w:before="240" w:after="80"/>
        <w:jc w:val="center"/>
      </w:pPr>
      <w:r>
        <w:rPr>
          <w:rFonts w:ascii="Times New Roman" w:hAnsi="Times New Roman"/>
          <w:b/>
          <w:i w:val="0"/>
          <w:color w:val="1E3C6E"/>
          <w:sz w:val="20"/>
        </w:rPr>
        <w:t>REFERENCES</w:t>
      </w:r>
    </w:p>
    <w:p>
      <w:pPr>
        <w:spacing w:line="240" w:lineRule="auto" w:before="20" w:after="60"/>
        <w:ind w:left="288" w:hanging="288"/>
        <w:jc w:val="both"/>
      </w:pPr>
      <w:r>
        <w:rPr>
          <w:rFonts w:ascii="Times New Roman" w:hAnsi="Times New Roman"/>
          <w:b w:val="0"/>
          <w:i w:val="0"/>
          <w:color w:val="000000"/>
          <w:sz w:val="16"/>
        </w:rPr>
        <w:t>[1] M. Kulldorff, "A Spatial Scan Statistic," Communications in Statistics - Theory and Methods, Vol. 26, No. 6, pp. 1481–1495, 1997.</w:t>
      </w:r>
    </w:p>
    <w:p>
      <w:pPr>
        <w:spacing w:line="240" w:lineRule="auto" w:before="20" w:after="60"/>
        <w:ind w:left="288" w:hanging="288"/>
        <w:jc w:val="both"/>
      </w:pPr>
      <w:r>
        <w:rPr>
          <w:rFonts w:ascii="Times New Roman" w:hAnsi="Times New Roman"/>
          <w:b w:val="0"/>
          <w:i w:val="0"/>
          <w:color w:val="000000"/>
          <w:sz w:val="16"/>
        </w:rPr>
        <w:t>[2] B. Cakar, "Factors Affecting Police Officers’ Acceptance of GIS Technologies," Ph.D. Dissertation, University of North Texas, 2011.</w:t>
      </w:r>
    </w:p>
    <w:p>
      <w:pPr>
        <w:spacing w:line="240" w:lineRule="auto" w:before="20" w:after="60"/>
        <w:ind w:left="288" w:hanging="288"/>
        <w:jc w:val="both"/>
      </w:pPr>
      <w:r>
        <w:rPr>
          <w:rFonts w:ascii="Times New Roman" w:hAnsi="Times New Roman"/>
          <w:b w:val="0"/>
          <w:i w:val="0"/>
          <w:color w:val="000000"/>
          <w:sz w:val="16"/>
        </w:rPr>
        <w:t>[3] T. Almanie et al., "Crime Prediction Based on Crime Types and Using Spatial and Temporal Criminal Hotspots," International Journal of Data Mining &amp; Knowledge Management Process, Vol. 5, July 2015.</w:t>
      </w:r>
    </w:p>
    <w:p>
      <w:pPr>
        <w:spacing w:line="240" w:lineRule="auto" w:before="20" w:after="60"/>
        <w:ind w:left="288" w:hanging="288"/>
        <w:jc w:val="both"/>
      </w:pPr>
      <w:r>
        <w:rPr>
          <w:rFonts w:ascii="Times New Roman" w:hAnsi="Times New Roman"/>
          <w:b w:val="0"/>
          <w:i w:val="0"/>
          <w:color w:val="000000"/>
          <w:sz w:val="16"/>
        </w:rPr>
        <w:t>[4] J. Law et al., "Bayesian Spatio-Temporal Modeling for Analyzing Local Patterns of Crime Over Time at the Small-Area Level," Journal of Criminology, Vol. 30, pp. 57–78, March 2014.</w:t>
      </w:r>
    </w:p>
    <w:p>
      <w:pPr>
        <w:spacing w:line="240" w:lineRule="auto" w:before="20" w:after="60"/>
        <w:ind w:left="288" w:hanging="288"/>
        <w:jc w:val="both"/>
      </w:pPr>
      <w:r>
        <w:rPr>
          <w:rFonts w:ascii="Times New Roman" w:hAnsi="Times New Roman"/>
          <w:b w:val="0"/>
          <w:i w:val="0"/>
          <w:color w:val="000000"/>
          <w:sz w:val="16"/>
        </w:rPr>
        <w:t>[5] A. Buczak and C. Gifford, "Fuzzy Association Rule Mining for Community Crime Pattern Discovery," ACM SIGKDD Workshop on Intelligence and Security Informatics, pp. 1–10, 2010.</w:t>
      </w:r>
    </w:p>
    <w:p>
      <w:pPr>
        <w:spacing w:line="240" w:lineRule="auto" w:before="20" w:after="60"/>
        <w:ind w:left="288" w:hanging="288"/>
        <w:jc w:val="both"/>
      </w:pPr>
      <w:r>
        <w:rPr>
          <w:rFonts w:ascii="Times New Roman" w:hAnsi="Times New Roman"/>
          <w:b w:val="0"/>
          <w:i w:val="0"/>
          <w:color w:val="000000"/>
          <w:sz w:val="16"/>
        </w:rPr>
        <w:t>[6] M. Kulldorff, "SaTScan v9.0: Software for the Spatial and Space-Time Scan Statistics," Information Management Services, 2010.</w:t>
      </w:r>
    </w:p>
    <w:p>
      <w:pPr>
        <w:spacing w:line="240" w:lineRule="auto" w:before="20" w:after="60"/>
        <w:ind w:left="288" w:hanging="288"/>
        <w:jc w:val="both"/>
      </w:pPr>
      <w:r>
        <w:rPr>
          <w:rFonts w:ascii="Times New Roman" w:hAnsi="Times New Roman"/>
          <w:b w:val="0"/>
          <w:i w:val="0"/>
          <w:color w:val="000000"/>
          <w:sz w:val="16"/>
        </w:rPr>
        <w:t>[7] W. Xiaofeng and D. E. Brown, "The Spatio-Temporal Modeling for Criminal Incidents," Security Informatics, December 2012.</w:t>
      </w:r>
    </w:p>
    <w:p>
      <w:pPr>
        <w:spacing w:line="240" w:lineRule="auto" w:before="20" w:after="60"/>
        <w:ind w:left="288" w:hanging="288"/>
        <w:jc w:val="both"/>
      </w:pPr>
      <w:r>
        <w:rPr>
          <w:rFonts w:ascii="Times New Roman" w:hAnsi="Times New Roman"/>
          <w:b w:val="0"/>
          <w:i w:val="0"/>
          <w:color w:val="000000"/>
          <w:sz w:val="16"/>
        </w:rPr>
        <w:t>[8] R. Maciejewski et al., "A Visual Analytics Approach to Understanding Spatiotemporal Hotspots," IEEE Transactions on Visualization and Computer Graphics, Vol. 16, No. 2, pp. 205–220, August 2009.</w:t>
      </w:r>
    </w:p>
    <w:p>
      <w:pPr>
        <w:spacing w:line="240" w:lineRule="auto" w:before="20" w:after="60"/>
        <w:ind w:left="288" w:hanging="288"/>
        <w:jc w:val="both"/>
      </w:pPr>
      <w:r>
        <w:rPr>
          <w:rFonts w:ascii="Times New Roman" w:hAnsi="Times New Roman"/>
          <w:b w:val="0"/>
          <w:i w:val="0"/>
          <w:color w:val="000000"/>
          <w:sz w:val="16"/>
        </w:rPr>
        <w:t>[9] M. Dwass, "Modified Randomization Tests for Nonparametric Hypotheses," The Annals of Mathematical Statistics, Vol. 28, pp. 181–187, 1957.</w:t>
      </w:r>
    </w:p>
    <w:p>
      <w:pPr>
        <w:spacing w:line="240" w:lineRule="auto" w:before="20" w:after="60"/>
        <w:ind w:left="288" w:hanging="288"/>
        <w:jc w:val="both"/>
      </w:pPr>
      <w:r>
        <w:rPr>
          <w:rFonts w:ascii="Times New Roman" w:hAnsi="Times New Roman"/>
          <w:b w:val="0"/>
          <w:i w:val="0"/>
          <w:color w:val="000000"/>
          <w:sz w:val="16"/>
        </w:rPr>
        <w:t>[10] M. Townsley, "Visualizing Space Time Patterns in Crime: The Hotspot Plot," Crime Pattern and Analysis, Vol. 1, pp. 61–74, January 2008.</w:t>
      </w:r>
    </w:p>
    <w:p>
      <w:pPr>
        <w:spacing w:line="240" w:lineRule="auto" w:before="20" w:after="60"/>
        <w:ind w:left="288" w:hanging="288"/>
        <w:jc w:val="both"/>
      </w:pPr>
      <w:r>
        <w:rPr>
          <w:rFonts w:ascii="Times New Roman" w:hAnsi="Times New Roman"/>
          <w:b w:val="0"/>
          <w:i w:val="0"/>
          <w:color w:val="000000"/>
          <w:sz w:val="16"/>
        </w:rPr>
        <w:t>[11] S. Chainey et al., "The Utility of Hotspot Mapping for Predicting Spatial Patterns of Crime," Security Journal, Vol. 21, pp. 4–28, January 2008.</w:t>
      </w:r>
    </w:p>
    <w:p>
      <w:pPr>
        <w:spacing w:line="240" w:lineRule="auto" w:before="20" w:after="60"/>
        <w:ind w:left="288" w:hanging="288"/>
        <w:jc w:val="both"/>
      </w:pPr>
      <w:r>
        <w:rPr>
          <w:rFonts w:ascii="Times New Roman" w:hAnsi="Times New Roman"/>
          <w:b w:val="0"/>
          <w:i w:val="0"/>
          <w:color w:val="000000"/>
          <w:sz w:val="16"/>
        </w:rPr>
        <w:t>[12] M. Shuchi, M. K. Jat, and P. Pradhan, "An Approach to Analyze Drought Occurrences Using Geospatial Techniques," 15th Esri India User Conference, 2014.</w:t>
      </w:r>
    </w:p>
    <w:p>
      <w:pPr>
        <w:spacing w:line="240" w:lineRule="auto" w:before="20" w:after="60"/>
        <w:ind w:left="288" w:hanging="288"/>
        <w:jc w:val="both"/>
      </w:pPr>
      <w:r>
        <w:rPr>
          <w:rFonts w:ascii="Times New Roman" w:hAnsi="Times New Roman"/>
          <w:b w:val="0"/>
          <w:i w:val="0"/>
          <w:color w:val="000000"/>
          <w:sz w:val="16"/>
        </w:rPr>
        <w:t>[13] S. V. Nath, "Crime Pattern Detection Using Data Mining," IEEE/WIC/ACM International Conference on Web Intelligence and Intelligent Agent Technology, pp. 41–44, December 2006.</w:t>
      </w:r>
    </w:p>
    <w:p>
      <w:pPr>
        <w:spacing w:line="240" w:lineRule="auto" w:before="20" w:after="60"/>
        <w:ind w:left="288" w:hanging="288"/>
        <w:jc w:val="both"/>
      </w:pPr>
      <w:r>
        <w:rPr>
          <w:rFonts w:ascii="Times New Roman" w:hAnsi="Times New Roman"/>
          <w:b w:val="0"/>
          <w:i w:val="0"/>
          <w:color w:val="000000"/>
          <w:sz w:val="16"/>
        </w:rPr>
        <w:t>[14] M. Helbich and M. Leitner, "Evaluation of Spatial Cluster Detection Algorithms for Crime Locations," in Challenges at the Interface of Data Analysis, Computer Science, and Optimization, Springer, pp. 193–201, 2012.</w:t>
      </w:r>
    </w:p>
    <w:p>
      <w:pPr>
        <w:spacing w:line="240" w:lineRule="auto" w:before="20" w:after="60"/>
        <w:ind w:left="288" w:hanging="288"/>
        <w:jc w:val="both"/>
      </w:pPr>
      <w:r>
        <w:rPr>
          <w:rFonts w:ascii="Times New Roman" w:hAnsi="Times New Roman"/>
          <w:b w:val="0"/>
          <w:i w:val="0"/>
          <w:color w:val="000000"/>
          <w:sz w:val="16"/>
        </w:rPr>
        <w:t>[15] J. Kumar, "Some Contribution to Scan Statistics and Their Applications," Ph.D. Thesis, Department of Statistics, Patna University, 2014.</w:t>
      </w:r>
    </w:p>
    <w:p>
      <w:pPr>
        <w:spacing w:line="240" w:lineRule="auto" w:before="20" w:after="60"/>
        <w:ind w:left="288" w:hanging="288"/>
        <w:jc w:val="both"/>
      </w:pPr>
      <w:r>
        <w:rPr>
          <w:rFonts w:ascii="Times New Roman" w:hAnsi="Times New Roman"/>
          <w:b w:val="0"/>
          <w:i w:val="0"/>
          <w:color w:val="000000"/>
          <w:sz w:val="16"/>
        </w:rPr>
        <w:t>[16] Registrar General of India, "Census of India 2011: Table C-02 Marital Status by Age and Sex," Ministry of Home Affairs, Government of India, New Delhi, 2011.</w:t>
      </w:r>
    </w:p>
    <w:sectPr w:rsidR="00FC693F" w:rsidRPr="0006063C" w:rsidSect="00034616">
      <w:type w:val="continuous"/>
      <w:pgSz w:w="12240" w:h="15840"/>
      <w:pgMar w:top="1080" w:right="900" w:bottom="1440" w:left="9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