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28B2" w14:textId="77777777" w:rsidR="008D52AA" w:rsidRDefault="008D52AA"/>
    <w:p w14:paraId="5EDC2C1F" w14:textId="77777777" w:rsidR="008D52AA" w:rsidRDefault="008D52AA"/>
    <w:p w14:paraId="6957AFCC" w14:textId="77777777" w:rsidR="008D52AA" w:rsidRDefault="008D52AA"/>
    <w:p w14:paraId="73E68844" w14:textId="0E97C8DC" w:rsidR="008D52AA" w:rsidRDefault="008D52AA">
      <w:r>
        <w:rPr>
          <w:noProof/>
        </w:rPr>
        <w:lastRenderedPageBreak/>
        <w:drawing>
          <wp:inline distT="0" distB="0" distL="0" distR="0" wp14:anchorId="70014E99" wp14:editId="7A629AEC">
            <wp:extent cx="5552267" cy="7362092"/>
            <wp:effectExtent l="0" t="0" r="0" b="0"/>
            <wp:docPr id="119460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08977" name="Picture 119460897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61829" cy="7374771"/>
                    </a:xfrm>
                    <a:prstGeom prst="rect">
                      <a:avLst/>
                    </a:prstGeom>
                  </pic:spPr>
                </pic:pic>
              </a:graphicData>
            </a:graphic>
          </wp:inline>
        </w:drawing>
      </w:r>
    </w:p>
    <w:p w14:paraId="5B495549" w14:textId="2759C13D" w:rsidR="008D52AA" w:rsidRDefault="008D52AA">
      <w:pPr>
        <w:rPr>
          <w:i/>
          <w:iCs/>
        </w:rPr>
      </w:pPr>
      <w:r w:rsidRPr="008D52AA">
        <w:rPr>
          <w:i/>
          <w:iCs/>
        </w:rPr>
        <w:t xml:space="preserve">Figure S1. Decrease in the root mean squared error between the full model and the reduced model (on the standardized scale) as we add more wavelengths to the full model using </w:t>
      </w:r>
      <w:proofErr w:type="gramStart"/>
      <w:r w:rsidRPr="008D52AA">
        <w:rPr>
          <w:i/>
          <w:iCs/>
        </w:rPr>
        <w:t>step-wise</w:t>
      </w:r>
      <w:proofErr w:type="gramEnd"/>
      <w:r w:rsidRPr="008D52AA">
        <w:rPr>
          <w:i/>
          <w:iCs/>
        </w:rPr>
        <w:t xml:space="preserve"> forward selection. The horizontal line at 0 represents the step where adding </w:t>
      </w:r>
      <w:r w:rsidRPr="008D52AA">
        <w:rPr>
          <w:i/>
          <w:iCs/>
        </w:rPr>
        <w:lastRenderedPageBreak/>
        <w:t xml:space="preserve">more wavelengths results in similar predictive accuracy between the full model and </w:t>
      </w:r>
      <w:proofErr w:type="spellStart"/>
      <w:r w:rsidRPr="008D52AA">
        <w:rPr>
          <w:i/>
          <w:iCs/>
        </w:rPr>
        <w:t>submodel</w:t>
      </w:r>
      <w:proofErr w:type="spellEnd"/>
      <w:r w:rsidRPr="008D52AA">
        <w:rPr>
          <w:i/>
          <w:iCs/>
        </w:rPr>
        <w:t xml:space="preserve"> according to the cross-validation root mean squared error. The vertical bars </w:t>
      </w:r>
      <w:proofErr w:type="gramStart"/>
      <w:r w:rsidRPr="008D52AA">
        <w:rPr>
          <w:i/>
          <w:iCs/>
        </w:rPr>
        <w:t>represents</w:t>
      </w:r>
      <w:proofErr w:type="gramEnd"/>
      <w:r w:rsidRPr="008D52AA">
        <w:rPr>
          <w:i/>
          <w:iCs/>
        </w:rPr>
        <w:t xml:space="preserve"> one standard deviation in cross validation </w:t>
      </w:r>
      <w:proofErr w:type="spellStart"/>
      <w:r w:rsidRPr="008D52AA">
        <w:rPr>
          <w:i/>
          <w:iCs/>
        </w:rPr>
        <w:t>rmse</w:t>
      </w:r>
      <w:proofErr w:type="spellEnd"/>
      <w:r w:rsidRPr="008D52AA">
        <w:rPr>
          <w:i/>
          <w:iCs/>
        </w:rPr>
        <w:t xml:space="preserve">. The number of wavelengths </w:t>
      </w:r>
      <w:proofErr w:type="gramStart"/>
      <w:r w:rsidRPr="008D52AA">
        <w:rPr>
          <w:i/>
          <w:iCs/>
        </w:rPr>
        <w:t>are</w:t>
      </w:r>
      <w:proofErr w:type="gramEnd"/>
      <w:r w:rsidRPr="008D52AA">
        <w:rPr>
          <w:i/>
          <w:iCs/>
        </w:rPr>
        <w:t xml:space="preserve"> chosen when the one standard deviation bar intersects the horizontal line.</w:t>
      </w:r>
    </w:p>
    <w:p w14:paraId="5A439673" w14:textId="77777777" w:rsidR="008D52AA" w:rsidRDefault="008D52AA">
      <w:pPr>
        <w:rPr>
          <w:i/>
          <w:iCs/>
        </w:rPr>
      </w:pPr>
    </w:p>
    <w:p w14:paraId="1FAAB046" w14:textId="166AE20A" w:rsidR="008D52AA" w:rsidRDefault="008D52AA">
      <w:pPr>
        <w:rPr>
          <w:i/>
          <w:iCs/>
        </w:rPr>
      </w:pPr>
      <w:r>
        <w:rPr>
          <w:i/>
          <w:iCs/>
          <w:noProof/>
        </w:rPr>
        <w:drawing>
          <wp:inline distT="0" distB="0" distL="0" distR="0" wp14:anchorId="1D6E5E32" wp14:editId="54F29C4A">
            <wp:extent cx="5943600" cy="5943600"/>
            <wp:effectExtent l="0" t="0" r="0" b="0"/>
            <wp:docPr id="172324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4533" name="Picture 1723245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D357E99" w14:textId="63D516BB" w:rsidR="008D52AA" w:rsidRDefault="008D52AA">
      <w:pPr>
        <w:rPr>
          <w:i/>
          <w:iCs/>
        </w:rPr>
      </w:pPr>
      <w:r>
        <w:rPr>
          <w:i/>
          <w:iCs/>
        </w:rPr>
        <w:t xml:space="preserve">Figure S2. </w:t>
      </w:r>
      <w:r w:rsidRPr="008D52AA">
        <w:rPr>
          <w:i/>
          <w:iCs/>
        </w:rPr>
        <w:t>Posterior distribution for five projected regression parameters and the projected sigma parameter of the reduced model for carotenoid. The regression parameters for wavelengths 1191 nm and 1194 nm are correlated with each other resulting in long univariate posterior parameter intervals of these parameters (Figure 7, Main text)</w:t>
      </w:r>
    </w:p>
    <w:p w14:paraId="2995507D" w14:textId="7EC4F782" w:rsidR="008D52AA" w:rsidRDefault="008D52AA">
      <w:pPr>
        <w:rPr>
          <w:i/>
          <w:iCs/>
        </w:rPr>
      </w:pPr>
      <w:r>
        <w:rPr>
          <w:i/>
          <w:iCs/>
          <w:noProof/>
        </w:rPr>
        <w:lastRenderedPageBreak/>
        <w:drawing>
          <wp:inline distT="0" distB="0" distL="0" distR="0" wp14:anchorId="655836BA" wp14:editId="1EC05E69">
            <wp:extent cx="5943600" cy="7629525"/>
            <wp:effectExtent l="0" t="0" r="0" b="0"/>
            <wp:docPr id="132927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71035" name="Picture 13292710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629525"/>
                    </a:xfrm>
                    <a:prstGeom prst="rect">
                      <a:avLst/>
                    </a:prstGeom>
                  </pic:spPr>
                </pic:pic>
              </a:graphicData>
            </a:graphic>
          </wp:inline>
        </w:drawing>
      </w:r>
    </w:p>
    <w:p w14:paraId="6C7D6D03" w14:textId="5B9A93AF" w:rsidR="008D52AA" w:rsidRDefault="00E33522">
      <w:pPr>
        <w:rPr>
          <w:i/>
          <w:iCs/>
        </w:rPr>
      </w:pPr>
      <w:r>
        <w:rPr>
          <w:i/>
          <w:iCs/>
        </w:rPr>
        <w:t>Figure S</w:t>
      </w:r>
      <w:r>
        <w:rPr>
          <w:i/>
          <w:iCs/>
        </w:rPr>
        <w:t>3</w:t>
      </w:r>
      <w:r>
        <w:rPr>
          <w:i/>
          <w:iCs/>
        </w:rPr>
        <w:t xml:space="preserve">. </w:t>
      </w:r>
      <w:r>
        <w:rPr>
          <w:i/>
          <w:iCs/>
        </w:rPr>
        <w:t>The Partial Least Squares Regression (PLSR) coefficients for the three traits.</w:t>
      </w:r>
    </w:p>
    <w:p w14:paraId="0CFD03D7" w14:textId="47F4A45E" w:rsidR="008D52AA" w:rsidRDefault="008D52AA">
      <w:pPr>
        <w:rPr>
          <w:i/>
          <w:iCs/>
        </w:rPr>
      </w:pPr>
      <w:r>
        <w:rPr>
          <w:i/>
          <w:iCs/>
          <w:noProof/>
        </w:rPr>
        <w:lastRenderedPageBreak/>
        <w:drawing>
          <wp:inline distT="0" distB="0" distL="0" distR="0" wp14:anchorId="0F5274A1" wp14:editId="738E47D7">
            <wp:extent cx="5644578" cy="7245684"/>
            <wp:effectExtent l="0" t="0" r="0" b="0"/>
            <wp:docPr id="1630332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32606" name="Picture 16303326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4878" cy="7258906"/>
                    </a:xfrm>
                    <a:prstGeom prst="rect">
                      <a:avLst/>
                    </a:prstGeom>
                  </pic:spPr>
                </pic:pic>
              </a:graphicData>
            </a:graphic>
          </wp:inline>
        </w:drawing>
      </w:r>
    </w:p>
    <w:p w14:paraId="6D6A3F7C" w14:textId="1C0303CF" w:rsidR="00E33522" w:rsidRDefault="00E33522" w:rsidP="00E33522">
      <w:pPr>
        <w:rPr>
          <w:i/>
          <w:iCs/>
        </w:rPr>
      </w:pPr>
      <w:r>
        <w:rPr>
          <w:i/>
          <w:iCs/>
        </w:rPr>
        <w:t>Figure S</w:t>
      </w:r>
      <w:r>
        <w:rPr>
          <w:i/>
          <w:iCs/>
        </w:rPr>
        <w:t>4</w:t>
      </w:r>
      <w:r>
        <w:rPr>
          <w:i/>
          <w:iCs/>
        </w:rPr>
        <w:t xml:space="preserve">. </w:t>
      </w:r>
      <w:r>
        <w:rPr>
          <w:i/>
          <w:iCs/>
        </w:rPr>
        <w:t xml:space="preserve">Variable Influence on Projection (VIP) scores for each wavelength on the individual traits. </w:t>
      </w:r>
      <w:r w:rsidR="00C05487">
        <w:rPr>
          <w:i/>
          <w:iCs/>
        </w:rPr>
        <w:t>Wavelengths</w:t>
      </w:r>
      <w:r>
        <w:rPr>
          <w:i/>
          <w:iCs/>
        </w:rPr>
        <w:t xml:space="preserve"> with VIP values above 1 are generally</w:t>
      </w:r>
      <w:r w:rsidR="00C05487">
        <w:rPr>
          <w:i/>
          <w:iCs/>
        </w:rPr>
        <w:t xml:space="preserve"> considered to</w:t>
      </w:r>
      <w:r>
        <w:rPr>
          <w:i/>
          <w:iCs/>
        </w:rPr>
        <w:t xml:space="preserve"> </w:t>
      </w:r>
      <w:r w:rsidRPr="00E33522">
        <w:rPr>
          <w:i/>
          <w:iCs/>
        </w:rPr>
        <w:t>contribute significantly to trait prediction</w:t>
      </w:r>
      <w:r w:rsidR="00154E37">
        <w:rPr>
          <w:i/>
          <w:iCs/>
        </w:rPr>
        <w:t xml:space="preserve"> </w:t>
      </w:r>
      <w:r w:rsidR="00154E37">
        <w:rPr>
          <w:i/>
          <w:iCs/>
        </w:rPr>
        <w:fldChar w:fldCharType="begin"/>
      </w:r>
      <w:r w:rsidR="00154E37">
        <w:rPr>
          <w:i/>
          <w:iCs/>
        </w:rPr>
        <w:instrText xml:space="preserve"> ADDIN ZOTERO_ITEM CSL_CITATION {"citationID":"MnmiwOsw","properties":{"unsorted":false,"formattedCitation":"(Mehmood et al., 2012)","plainCitation":"(Mehmood et al., 2012)","noteIndex":0},"citationItems":[{"id":1463,"uris":["http://zotero.org/groups/4953949/items/SPBC78XI"],"itemData":{"id":1463,"type":"article-journal","citation-key":"mehmoodReviewVariableSelection2012a","container-title":"Chemometrics and Intelligent Laboratory Systems","DOI":"10.1016/j.chemolab.2012.07.010","ISSN":"01697439","journalAbbreviation":"Chemometrics and Intelligent Laboratory Systems","language":"en","page":"62-69","source":"DOI.org (Crossref)","title":"A review of variable selection methods in Partial Least Squares Regression","volume":"118","author":[{"family":"Mehmood","given":"Tahir"},{"family":"Liland","given":"Kristian Hovde"},{"family":"Snipen","given":"Lars"},{"family":"Sæbø","given":"Solve"}],"issued":{"date-parts":[["2012",8]]}}}],"schema":"https://github.com/citation-style-language/schema/raw/master/csl-citation.json"} </w:instrText>
      </w:r>
      <w:r w:rsidR="00154E37">
        <w:rPr>
          <w:i/>
          <w:iCs/>
        </w:rPr>
        <w:fldChar w:fldCharType="separate"/>
      </w:r>
      <w:r w:rsidR="00154E37">
        <w:rPr>
          <w:i/>
          <w:iCs/>
          <w:noProof/>
        </w:rPr>
        <w:t>(Mehmood et al., 2012)</w:t>
      </w:r>
      <w:r w:rsidR="00154E37">
        <w:rPr>
          <w:i/>
          <w:iCs/>
        </w:rPr>
        <w:fldChar w:fldCharType="end"/>
      </w:r>
      <w:r>
        <w:rPr>
          <w:i/>
          <w:iCs/>
        </w:rPr>
        <w:t>.</w:t>
      </w:r>
    </w:p>
    <w:p w14:paraId="18820273" w14:textId="77777777" w:rsidR="00AE3A2F" w:rsidRDefault="00AE3A2F">
      <w:pPr>
        <w:rPr>
          <w:i/>
          <w:iCs/>
        </w:rPr>
      </w:pPr>
    </w:p>
    <w:p w14:paraId="1FE3BE6E" w14:textId="3FB43BE4" w:rsidR="00AE3A2F" w:rsidRDefault="00AE3A2F">
      <w:pPr>
        <w:rPr>
          <w:i/>
          <w:iCs/>
        </w:rPr>
      </w:pPr>
      <w:r>
        <w:rPr>
          <w:i/>
          <w:iCs/>
          <w:noProof/>
        </w:rPr>
        <w:drawing>
          <wp:inline distT="0" distB="0" distL="0" distR="0" wp14:anchorId="006A7FA9" wp14:editId="44E66187">
            <wp:extent cx="5943600" cy="3420110"/>
            <wp:effectExtent l="0" t="0" r="0" b="0"/>
            <wp:docPr id="568120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0598" name="Picture 568120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20110"/>
                    </a:xfrm>
                    <a:prstGeom prst="rect">
                      <a:avLst/>
                    </a:prstGeom>
                  </pic:spPr>
                </pic:pic>
              </a:graphicData>
            </a:graphic>
          </wp:inline>
        </w:drawing>
      </w:r>
    </w:p>
    <w:p w14:paraId="5077DA58" w14:textId="7A93CBD2" w:rsidR="00352001" w:rsidRDefault="00154E37">
      <w:pPr>
        <w:rPr>
          <w:i/>
          <w:iCs/>
        </w:rPr>
      </w:pPr>
      <w:r>
        <w:rPr>
          <w:i/>
          <w:iCs/>
        </w:rPr>
        <w:t>Figure S5. Variation of uncertainty (denoted by the difference of 90</w:t>
      </w:r>
      <w:r w:rsidRPr="00154E37">
        <w:rPr>
          <w:i/>
          <w:iCs/>
          <w:vertAlign w:val="superscript"/>
        </w:rPr>
        <w:t>th</w:t>
      </w:r>
      <w:r>
        <w:rPr>
          <w:i/>
          <w:iCs/>
        </w:rPr>
        <w:t xml:space="preserve"> and 10</w:t>
      </w:r>
      <w:r w:rsidRPr="00154E37">
        <w:rPr>
          <w:i/>
          <w:iCs/>
          <w:vertAlign w:val="superscript"/>
        </w:rPr>
        <w:t>th</w:t>
      </w:r>
      <w:r>
        <w:rPr>
          <w:i/>
          <w:iCs/>
        </w:rPr>
        <w:t xml:space="preserve"> percentile) and the observed trait values. The uncertainty is driven by the measurement error as well as the uncertainty in the parameters of the Bayesian model.</w:t>
      </w:r>
    </w:p>
    <w:p w14:paraId="6BE731C7" w14:textId="77777777" w:rsidR="00154E37" w:rsidRDefault="00154E37">
      <w:pPr>
        <w:rPr>
          <w:i/>
          <w:iCs/>
        </w:rPr>
      </w:pPr>
    </w:p>
    <w:p w14:paraId="46F7D1A6" w14:textId="77777777" w:rsidR="00154E37" w:rsidRDefault="00154E37">
      <w:pPr>
        <w:rPr>
          <w:i/>
          <w:iCs/>
        </w:rPr>
      </w:pPr>
    </w:p>
    <w:p w14:paraId="2E40283E" w14:textId="77777777" w:rsidR="00154E37" w:rsidRDefault="00154E37">
      <w:pPr>
        <w:rPr>
          <w:i/>
          <w:iCs/>
        </w:rPr>
      </w:pPr>
    </w:p>
    <w:p w14:paraId="41F2171F" w14:textId="40AB70D0" w:rsidR="00154E37" w:rsidRDefault="00154E37">
      <w:r>
        <w:t>References</w:t>
      </w:r>
    </w:p>
    <w:p w14:paraId="4D64021C" w14:textId="77777777" w:rsidR="00154E37" w:rsidRPr="00154E37" w:rsidRDefault="00154E37" w:rsidP="00154E37">
      <w:pPr>
        <w:pStyle w:val="Bibliography"/>
        <w:rPr>
          <w:rFonts w:ascii="Aptos"/>
        </w:rPr>
      </w:pPr>
      <w:r>
        <w:fldChar w:fldCharType="begin"/>
      </w:r>
      <w:r>
        <w:instrText xml:space="preserve"> ADDIN ZOTERO_BIBL {"uncited":[],"omitted":[],"custom":[]} CSL_BIBLIOGRAPHY </w:instrText>
      </w:r>
      <w:r>
        <w:fldChar w:fldCharType="separate"/>
      </w:r>
      <w:r w:rsidRPr="00154E37">
        <w:rPr>
          <w:rFonts w:ascii="Aptos"/>
        </w:rPr>
        <w:t xml:space="preserve">Mehmood, T., Liland, K. H., </w:t>
      </w:r>
      <w:proofErr w:type="spellStart"/>
      <w:r w:rsidRPr="00154E37">
        <w:rPr>
          <w:rFonts w:ascii="Aptos"/>
        </w:rPr>
        <w:t>Snipen</w:t>
      </w:r>
      <w:proofErr w:type="spellEnd"/>
      <w:r w:rsidRPr="00154E37">
        <w:rPr>
          <w:rFonts w:ascii="Aptos"/>
        </w:rPr>
        <w:t xml:space="preserve">, L., &amp; Sæbø, S. (2012). A review of variable selection methods in Partial Least Squares Regression. </w:t>
      </w:r>
      <w:r w:rsidRPr="00154E37">
        <w:rPr>
          <w:rFonts w:ascii="Aptos"/>
          <w:i/>
          <w:iCs/>
        </w:rPr>
        <w:t>Chemometrics and Intelligent Laboratory Systems</w:t>
      </w:r>
      <w:r w:rsidRPr="00154E37">
        <w:rPr>
          <w:rFonts w:ascii="Aptos"/>
        </w:rPr>
        <w:t xml:space="preserve">, </w:t>
      </w:r>
      <w:r w:rsidRPr="00154E37">
        <w:rPr>
          <w:rFonts w:ascii="Aptos"/>
          <w:i/>
          <w:iCs/>
        </w:rPr>
        <w:t>118</w:t>
      </w:r>
      <w:r w:rsidRPr="00154E37">
        <w:rPr>
          <w:rFonts w:ascii="Aptos"/>
        </w:rPr>
        <w:t>, 62–69. https://doi.org/10.1016/j.chemolab.2012.07.010</w:t>
      </w:r>
    </w:p>
    <w:p w14:paraId="6CD22EB0" w14:textId="10B1BEF9" w:rsidR="00154E37" w:rsidRPr="00154E37" w:rsidRDefault="00154E37">
      <w:r>
        <w:fldChar w:fldCharType="end"/>
      </w:r>
    </w:p>
    <w:sectPr w:rsidR="00154E37" w:rsidRPr="00154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AA"/>
    <w:rsid w:val="00154E37"/>
    <w:rsid w:val="00352001"/>
    <w:rsid w:val="004C380E"/>
    <w:rsid w:val="00850EC1"/>
    <w:rsid w:val="008D52AA"/>
    <w:rsid w:val="008D55EE"/>
    <w:rsid w:val="00AE3A2F"/>
    <w:rsid w:val="00C05487"/>
    <w:rsid w:val="00E3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EC48E1"/>
  <w15:chartTrackingRefBased/>
  <w15:docId w15:val="{D176044B-7480-B745-84BB-60B3B0B5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2AA"/>
    <w:rPr>
      <w:rFonts w:eastAsiaTheme="majorEastAsia" w:cstheme="majorBidi"/>
      <w:color w:val="272727" w:themeColor="text1" w:themeTint="D8"/>
    </w:rPr>
  </w:style>
  <w:style w:type="paragraph" w:styleId="Title">
    <w:name w:val="Title"/>
    <w:basedOn w:val="Normal"/>
    <w:next w:val="Normal"/>
    <w:link w:val="TitleChar"/>
    <w:uiPriority w:val="10"/>
    <w:qFormat/>
    <w:rsid w:val="008D5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2AA"/>
    <w:pPr>
      <w:spacing w:before="160"/>
      <w:jc w:val="center"/>
    </w:pPr>
    <w:rPr>
      <w:i/>
      <w:iCs/>
      <w:color w:val="404040" w:themeColor="text1" w:themeTint="BF"/>
    </w:rPr>
  </w:style>
  <w:style w:type="character" w:customStyle="1" w:styleId="QuoteChar">
    <w:name w:val="Quote Char"/>
    <w:basedOn w:val="DefaultParagraphFont"/>
    <w:link w:val="Quote"/>
    <w:uiPriority w:val="29"/>
    <w:rsid w:val="008D52AA"/>
    <w:rPr>
      <w:i/>
      <w:iCs/>
      <w:color w:val="404040" w:themeColor="text1" w:themeTint="BF"/>
    </w:rPr>
  </w:style>
  <w:style w:type="paragraph" w:styleId="ListParagraph">
    <w:name w:val="List Paragraph"/>
    <w:basedOn w:val="Normal"/>
    <w:uiPriority w:val="34"/>
    <w:qFormat/>
    <w:rsid w:val="008D52AA"/>
    <w:pPr>
      <w:ind w:left="720"/>
      <w:contextualSpacing/>
    </w:pPr>
  </w:style>
  <w:style w:type="character" w:styleId="IntenseEmphasis">
    <w:name w:val="Intense Emphasis"/>
    <w:basedOn w:val="DefaultParagraphFont"/>
    <w:uiPriority w:val="21"/>
    <w:qFormat/>
    <w:rsid w:val="008D52AA"/>
    <w:rPr>
      <w:i/>
      <w:iCs/>
      <w:color w:val="0F4761" w:themeColor="accent1" w:themeShade="BF"/>
    </w:rPr>
  </w:style>
  <w:style w:type="paragraph" w:styleId="IntenseQuote">
    <w:name w:val="Intense Quote"/>
    <w:basedOn w:val="Normal"/>
    <w:next w:val="Normal"/>
    <w:link w:val="IntenseQuoteChar"/>
    <w:uiPriority w:val="30"/>
    <w:qFormat/>
    <w:rsid w:val="008D5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2AA"/>
    <w:rPr>
      <w:i/>
      <w:iCs/>
      <w:color w:val="0F4761" w:themeColor="accent1" w:themeShade="BF"/>
    </w:rPr>
  </w:style>
  <w:style w:type="character" w:styleId="IntenseReference">
    <w:name w:val="Intense Reference"/>
    <w:basedOn w:val="DefaultParagraphFont"/>
    <w:uiPriority w:val="32"/>
    <w:qFormat/>
    <w:rsid w:val="008D52AA"/>
    <w:rPr>
      <w:b/>
      <w:bCs/>
      <w:smallCaps/>
      <w:color w:val="0F4761" w:themeColor="accent1" w:themeShade="BF"/>
      <w:spacing w:val="5"/>
    </w:rPr>
  </w:style>
  <w:style w:type="paragraph" w:styleId="Bibliography">
    <w:name w:val="Bibliography"/>
    <w:basedOn w:val="Normal"/>
    <w:next w:val="Normal"/>
    <w:uiPriority w:val="37"/>
    <w:unhideWhenUsed/>
    <w:rsid w:val="00154E3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414</Words>
  <Characters>2472</Characters>
  <Application>Microsoft Office Word</Application>
  <DocSecurity>0</DocSecurity>
  <Lines>51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Kathuria, Dhruva (GSFC-6180)[MORGAN STATE UNIV.]</dc:creator>
  <cp:keywords/>
  <dc:description/>
  <cp:lastModifiedBy>Kathuria, Dhruva (GSFC-6180)[MORGAN STATE UNIV.]</cp:lastModifiedBy>
  <cp:revision>4</cp:revision>
  <dcterms:created xsi:type="dcterms:W3CDTF">2026-04-01T19:47:00Z</dcterms:created>
  <dcterms:modified xsi:type="dcterms:W3CDTF">2026-04-16T17:14:00Z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id="LLtdcGhI"/&gt;&lt;style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