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25" w:rsidRDefault="001C557E">
      <w:pPr>
        <w:pStyle w:val="Title"/>
      </w:pPr>
      <w:r>
        <w:t>Analysis Report</w:t>
      </w:r>
    </w:p>
    <w:p w:rsidR="00081525" w:rsidRDefault="001C557E">
      <w:pPr>
        <w:pStyle w:val="Author"/>
      </w:pPr>
      <w:r>
        <w:t>Generated with the reporter() Function of the metafor Package</w:t>
      </w:r>
    </w:p>
    <w:p w:rsidR="00081525" w:rsidRDefault="001C557E">
      <w:pPr>
        <w:pStyle w:val="Date"/>
      </w:pPr>
      <w:r>
        <w:t>04 June, 2022</w:t>
      </w:r>
    </w:p>
    <w:p w:rsidR="00081525" w:rsidRDefault="001C557E">
      <w:pPr>
        <w:pStyle w:val="Heading2"/>
      </w:pPr>
      <w:bookmarkStart w:id="0" w:name="methods"/>
      <w:r>
        <w:t>Methods</w:t>
      </w:r>
    </w:p>
    <w:p w:rsidR="00081525" w:rsidRDefault="001C557E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081525" w:rsidRDefault="001C557E">
      <w:pPr>
        <w:pStyle w:val="Heading2"/>
      </w:pPr>
      <w:bookmarkStart w:id="1" w:name="results"/>
      <w:bookmarkEnd w:id="0"/>
      <w:r>
        <w:t>Result</w:t>
      </w:r>
      <w:r>
        <w:t>s</w:t>
      </w:r>
    </w:p>
    <w:p w:rsidR="00081525" w:rsidRDefault="001C557E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studies were included in the analysis. The observed outcomes ranged from </w:t>
      </w:r>
      <m:oMath>
        <m:r>
          <w:rPr>
            <w:rFonts w:ascii="Cambria Math" w:hAnsi="Cambria Math"/>
          </w:rPr>
          <m:t>0.0000</m:t>
        </m:r>
      </m:oMath>
      <w:r>
        <w:t xml:space="preserve"> to </w:t>
      </w:r>
      <m:oMath>
        <m:r>
          <w:rPr>
            <w:rFonts w:ascii="Cambria Math" w:hAnsi="Cambria Math"/>
          </w:rPr>
          <m:t>0.0392</m:t>
        </m:r>
      </m:oMath>
      <w:r>
        <w:t xml:space="preserve">, with the majority of estimates being positive (80%).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0.0248</m:t>
        </m:r>
      </m:oMath>
      <w:r>
        <w:t xml:space="preserve"> (95% CI: </w:t>
      </w:r>
      <m:oMath>
        <m:r>
          <w:rPr>
            <w:rFonts w:ascii="Cambria Math" w:hAnsi="Cambria Math"/>
          </w:rPr>
          <m:t>0.0039</m:t>
        </m:r>
      </m:oMath>
      <w:r>
        <w:t xml:space="preserve"> </w:t>
      </w:r>
      <w:r>
        <w:t xml:space="preserve">to </w:t>
      </w:r>
      <m:oMath>
        <m:r>
          <w:rPr>
            <w:rFonts w:ascii="Cambria Math" w:hAnsi="Cambria Math"/>
          </w:rPr>
          <m:t>0.0456</m:t>
        </m:r>
      </m:oMath>
      <w:r>
        <w:t>). Therefore, the average outcome differed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2.3239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0.0201</m:t>
        </m:r>
      </m:oMath>
      <w:r>
        <w:t>). A forest plot showing the observed outcomes and the estimate based on the random-effects model is shown in Figure 1.</w:t>
      </w:r>
    </w:p>
    <w:p w:rsidR="00081525" w:rsidRDefault="001C557E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25" w:rsidRDefault="001C557E">
      <w:pPr>
        <w:pStyle w:val="ImageCaption"/>
      </w:pPr>
      <w:r>
        <w:t>Figure 1: Forest plot showing the obs</w:t>
      </w:r>
      <w:r>
        <w:t>erved outcomes and the estimate of the random-effects model</w:t>
      </w:r>
    </w:p>
    <w:p w:rsidR="00081525" w:rsidRDefault="001C557E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there was no significant amount of heterogeneity in the true outcomes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5.7058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0.2222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41.1390</m:t>
        </m:r>
      </m:oMath>
      <w:r>
        <w:t xml:space="preserve">%). A 95% prediction interval for the true outcomes is given by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0.0108</m:t>
        </m:r>
      </m:oMath>
      <w:r>
        <w:t xml:space="preserve"> to </w:t>
      </w:r>
      <m:oMath>
        <m:r>
          <w:rPr>
            <w:rFonts w:ascii="Cambria Math" w:hAnsi="Cambria Math"/>
          </w:rPr>
          <m:t>0.0603</m:t>
        </m:r>
      </m:oMath>
      <w:r>
        <w:t>. Hence, although the average outcome is estimated to be positive, in some studies the true outcome may in fact be negative.</w:t>
      </w:r>
    </w:p>
    <w:p w:rsidR="00081525" w:rsidRDefault="001C557E">
      <w:pPr>
        <w:pStyle w:val="BodyText"/>
      </w:pPr>
      <w:r>
        <w:t>An examination of the studentized residuals reveal</w:t>
      </w:r>
      <w:r>
        <w:t xml:space="preserve">ed that none of the studies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2.5758</m:t>
        </m:r>
      </m:oMath>
      <w:r>
        <w:t xml:space="preserve"> and hence there was no indication of outliers in the context of this model. According to the Cook’s distances, none of the studies could be considered to be overly influential.</w:t>
      </w:r>
    </w:p>
    <w:p w:rsidR="00081525" w:rsidRDefault="001C557E">
      <w:pPr>
        <w:pStyle w:val="BodyText"/>
      </w:pPr>
      <w:r>
        <w:t>A funnel plot of th</w:t>
      </w:r>
      <w:r>
        <w:t>e estimates is shown in Figure 2. Neither the rank correlation nor the regression test indicated any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0.8167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0.9049</m:t>
        </m:r>
      </m:oMath>
      <w:r>
        <w:t>, respectively).</w:t>
      </w:r>
    </w:p>
    <w:p w:rsidR="00081525" w:rsidRDefault="001C557E">
      <w:pPr>
        <w:pStyle w:val="CaptionedFigure"/>
      </w:pPr>
      <w:bookmarkStart w:id="2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081525" w:rsidRDefault="001C557E">
      <w:pPr>
        <w:pStyle w:val="ImageCaption"/>
      </w:pPr>
      <w:r>
        <w:t>Figure 2: Funnel plot</w:t>
      </w:r>
    </w:p>
    <w:p w:rsidR="00081525" w:rsidRDefault="001C557E">
      <w:pPr>
        <w:pStyle w:val="Heading2"/>
      </w:pPr>
      <w:bookmarkStart w:id="3" w:name="notes"/>
      <w:bookmarkEnd w:id="1"/>
      <w:r>
        <w:t>Notes</w:t>
      </w:r>
    </w:p>
    <w:p w:rsidR="00081525" w:rsidRDefault="001C557E">
      <w:pPr>
        <w:pStyle w:val="FirstParagraph"/>
      </w:pPr>
      <w:r>
        <w:t>This analysis report was dynamically generated for model objec</w:t>
      </w:r>
      <w:r>
        <w:t>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that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results of the model can be report</w:t>
      </w:r>
      <w:r>
        <w:t>ed, but is not a substitute for a careful examination of the results.</w:t>
      </w:r>
    </w:p>
    <w:p w:rsidR="00081525" w:rsidRDefault="001C557E">
      <w:pPr>
        <w:pStyle w:val="Heading2"/>
      </w:pPr>
      <w:bookmarkStart w:id="4" w:name="references"/>
      <w:bookmarkEnd w:id="3"/>
      <w:r>
        <w:t>References</w:t>
      </w:r>
    </w:p>
    <w:p w:rsidR="00081525" w:rsidRDefault="001C557E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081525" w:rsidRDefault="001C557E">
      <w:pPr>
        <w:pStyle w:val="Bibliography"/>
      </w:pPr>
      <w:bookmarkStart w:id="7" w:name="ref-cochran1954"/>
      <w:bookmarkEnd w:id="5"/>
      <w:r>
        <w:t xml:space="preserve">Cochran, W. G. (1954). The combination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081525" w:rsidRDefault="001C557E">
      <w:pPr>
        <w:pStyle w:val="Bibliography"/>
      </w:pPr>
      <w:bookmarkStart w:id="8" w:name="ref-higgins2002"/>
      <w:bookmarkEnd w:id="7"/>
      <w:r>
        <w:t>Higgins, J. P. T</w:t>
      </w:r>
      <w:r>
        <w:t xml:space="preserve">., &amp; Thompson, S. G. (2002). Quantifying heterogeneity in a meta-analysis. </w:t>
      </w:r>
      <w:r>
        <w:rPr>
          <w:i/>
          <w:iCs/>
        </w:rPr>
        <w:t>Statistics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081525" w:rsidRDefault="001C557E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R: A language and environment fo</w:t>
      </w:r>
      <w:r>
        <w:rPr>
          <w:i/>
          <w:iCs/>
        </w:rPr>
        <w:t>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081525" w:rsidRDefault="001C557E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081525" w:rsidRDefault="001C557E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</w:t>
      </w:r>
      <w:r>
        <w:t xml:space="preserve">J. Sutton, &amp; M. Borenstein (Eds.), </w:t>
      </w:r>
      <w:r>
        <w:rPr>
          <w:i/>
          <w:iCs/>
        </w:rPr>
        <w:t>Publication bias in meta-analysis: Prevention, assessment and adjustment</w:t>
      </w:r>
      <w:r>
        <w:t xml:space="preserve"> (pp. 99–110). Wiley.</w:t>
      </w:r>
    </w:p>
    <w:p w:rsidR="00081525" w:rsidRDefault="001C557E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</w:t>
      </w:r>
      <w:r>
        <w:rPr>
          <w:i/>
          <w:iCs/>
        </w:rPr>
        <w:t>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081525" w:rsidRDefault="001C557E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</w:t>
      </w:r>
      <w:r>
        <w:rPr>
          <w:i/>
          <w:iCs/>
        </w:rPr>
        <w:t>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https://doi.org/10.18637/jss.v036.i03</w:t>
        </w:r>
      </w:hyperlink>
    </w:p>
    <w:p w:rsidR="00081525" w:rsidRDefault="001C557E">
      <w:pPr>
        <w:pStyle w:val="Bibliography"/>
      </w:pPr>
      <w:bookmarkStart w:id="14" w:name="ref-viechtbauer2010b"/>
      <w:bookmarkEnd w:id="13"/>
      <w:r>
        <w:t xml:space="preserve">Viechtbauer,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>(2), 112–125.</w:t>
      </w:r>
      <w:r>
        <w:t xml:space="preserve"> </w:t>
      </w:r>
      <w:hyperlink r:id="rId16">
        <w:r>
          <w:rPr>
            <w:rStyle w:val="Hyperlink"/>
          </w:rPr>
          <w:t>https://doi.org/10.1002/jrsm.11</w:t>
        </w:r>
      </w:hyperlink>
      <w:bookmarkEnd w:id="4"/>
      <w:bookmarkEnd w:id="6"/>
      <w:bookmarkEnd w:id="14"/>
    </w:p>
    <w:sectPr w:rsidR="000815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57E" w:rsidRDefault="001C557E">
      <w:pPr>
        <w:spacing w:after="0"/>
      </w:pPr>
      <w:r>
        <w:separator/>
      </w:r>
    </w:p>
  </w:endnote>
  <w:endnote w:type="continuationSeparator" w:id="0">
    <w:p w:rsidR="001C557E" w:rsidRDefault="001C5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57E" w:rsidRDefault="001C557E">
      <w:r>
        <w:separator/>
      </w:r>
    </w:p>
  </w:footnote>
  <w:footnote w:type="continuationSeparator" w:id="0">
    <w:p w:rsidR="001C557E" w:rsidRDefault="001C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B3079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25"/>
    <w:rsid w:val="00081525"/>
    <w:rsid w:val="001C557E"/>
    <w:rsid w:val="005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EB2F9-52A3-4D12-A25F-4200D0E8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2022-06-04T13:01:00Z</dcterms:created>
  <dcterms:modified xsi:type="dcterms:W3CDTF">2022-06-04T13:01:00Z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