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68" w:rsidRDefault="00D0260C">
      <w:pPr>
        <w:pStyle w:val="Title"/>
      </w:pPr>
      <w:bookmarkStart w:id="0" w:name="_GoBack"/>
      <w:bookmarkEnd w:id="0"/>
      <w:r>
        <w:t>Analysis Report</w:t>
      </w:r>
    </w:p>
    <w:p w:rsidR="009A3D68" w:rsidRDefault="00D0260C">
      <w:pPr>
        <w:pStyle w:val="Author"/>
      </w:pPr>
      <w:r>
        <w:t>Generated with the reporter() Function of the metafor Package</w:t>
      </w:r>
    </w:p>
    <w:p w:rsidR="009A3D68" w:rsidRDefault="00D0260C">
      <w:pPr>
        <w:pStyle w:val="Date"/>
      </w:pPr>
      <w:r>
        <w:t>04 June, 2022</w:t>
      </w:r>
    </w:p>
    <w:p w:rsidR="009A3D68" w:rsidRDefault="00D0260C">
      <w:pPr>
        <w:pStyle w:val="Heading2"/>
      </w:pPr>
      <w:bookmarkStart w:id="1" w:name="methods"/>
      <w:r>
        <w:t>Methods</w:t>
      </w:r>
    </w:p>
    <w:p w:rsidR="009A3D68" w:rsidRDefault="00D0260C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9A3D68" w:rsidRDefault="00D0260C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9A3D68" w:rsidRDefault="00D0260C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studies were included in the analysis. The observed outcomes ranged from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0.1393</m:t>
        </m:r>
      </m:oMath>
      <w:r>
        <w:t xml:space="preserve"> to </w:t>
      </w:r>
      <m:oMath>
        <m:r>
          <w:rPr>
            <w:rFonts w:ascii="Cambria Math" w:hAnsi="Cambria Math"/>
          </w:rPr>
          <m:t>1.4516</m:t>
        </m:r>
      </m:oMath>
      <w:r>
        <w:t xml:space="preserve">, with the majority of estimates being positive (75%).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0.7155</m:t>
        </m:r>
      </m:oMath>
      <w:r>
        <w:t xml:space="preserve"> (95% CI: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0.025</m:t>
        </m:r>
        <m:r>
          <w:rPr>
            <w:rFonts w:ascii="Cambria Math" w:hAnsi="Cambria Math"/>
          </w:rPr>
          <m:t>5</m:t>
        </m:r>
      </m:oMath>
      <w:r>
        <w:t xml:space="preserve"> to </w:t>
      </w:r>
      <m:oMath>
        <m:r>
          <w:rPr>
            <w:rFonts w:ascii="Cambria Math" w:hAnsi="Cambria Math"/>
          </w:rPr>
          <m:t>1.4566</m:t>
        </m:r>
      </m:oMath>
      <w:r>
        <w:t>). Therefore, the average outcome did not differ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1.8925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0.0584</m:t>
        </m:r>
      </m:oMath>
      <w:r>
        <w:t>). A forest plot showing the observed outcomes and the estimate based on the random-effects model is shown in Figure 1.</w:t>
      </w:r>
    </w:p>
    <w:p w:rsidR="009A3D68" w:rsidRDefault="00D0260C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68" w:rsidRDefault="00D0260C">
      <w:pPr>
        <w:pStyle w:val="ImageCaption"/>
      </w:pPr>
      <w:r>
        <w:t>Figure 1: Forest plot showing</w:t>
      </w:r>
      <w:r>
        <w:t xml:space="preserve"> the observed outcomes and the estimate of the random-effects model</w:t>
      </w:r>
    </w:p>
    <w:p w:rsidR="009A3D68" w:rsidRDefault="00D0260C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 true outcomes appear to be heterogeneous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8.5685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0.0356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0.3443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66.6838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0.6526</m:t>
        </m:r>
      </m:oMath>
      <w:r>
        <w:t xml:space="preserve"> to </w:t>
      </w:r>
      <m:oMath>
        <m:r>
          <w:rPr>
            <w:rFonts w:ascii="Cambria Math" w:hAnsi="Cambria Math"/>
          </w:rPr>
          <m:t>2.0837</m:t>
        </m:r>
      </m:oMath>
      <w:r>
        <w:t>. Hence, although the average outcome is estimated to be positive, in some studies the true outcome may in fact be negative.</w:t>
      </w:r>
    </w:p>
    <w:p w:rsidR="009A3D68" w:rsidRDefault="00D0260C">
      <w:pPr>
        <w:pStyle w:val="BodyText"/>
      </w:pPr>
      <w:r>
        <w:t xml:space="preserve">An examination of the studentized residuals revealed that one study (Choe et al.)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2.4977</m:t>
        </m:r>
      </m:oMath>
      <w:r>
        <w:t xml:space="preserve"> a</w:t>
      </w:r>
      <w:r>
        <w:t>nd may be a potential outlier in the context of this model. According to the Cook’s distances, none of the studies could be considered to be overly influential.</w:t>
      </w:r>
    </w:p>
    <w:p w:rsidR="009A3D68" w:rsidRDefault="00D0260C">
      <w:pPr>
        <w:pStyle w:val="BodyText"/>
      </w:pPr>
      <w:r>
        <w:t>A funnel plot of the estimates is shown in Figure 2. Neither the rank correlation nor the regre</w:t>
      </w:r>
      <w:r>
        <w:t>ssion test indicated any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0.7500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0.2483</m:t>
        </m:r>
      </m:oMath>
      <w:r>
        <w:t>, respectively).</w:t>
      </w:r>
    </w:p>
    <w:p w:rsidR="009A3D68" w:rsidRDefault="00D0260C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68" w:rsidRDefault="00D0260C">
      <w:pPr>
        <w:pStyle w:val="ImageCaption"/>
      </w:pPr>
      <w:r>
        <w:t>Figure 2: Funnel plot</w:t>
      </w:r>
    </w:p>
    <w:p w:rsidR="009A3D68" w:rsidRDefault="00D0260C">
      <w:pPr>
        <w:pStyle w:val="Heading2"/>
      </w:pPr>
      <w:bookmarkStart w:id="3" w:name="notes"/>
      <w:bookmarkEnd w:id="2"/>
      <w:r>
        <w:t>Notes</w:t>
      </w:r>
    </w:p>
    <w:p w:rsidR="009A3D68" w:rsidRDefault="00D0260C">
      <w:pPr>
        <w:pStyle w:val="FirstParagraph"/>
      </w:pPr>
      <w:r>
        <w:t>This analysis report was dynamically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</w:t>
      </w:r>
      <w:r>
        <w:t>that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reported, but is not a substitute for a careful examination of the results.</w:t>
      </w:r>
    </w:p>
    <w:p w:rsidR="009A3D68" w:rsidRDefault="00D0260C">
      <w:pPr>
        <w:pStyle w:val="Heading2"/>
      </w:pPr>
      <w:bookmarkStart w:id="4" w:name="references"/>
      <w:bookmarkEnd w:id="3"/>
      <w:r>
        <w:t>Refere</w:t>
      </w:r>
      <w:r>
        <w:t>nces</w:t>
      </w:r>
    </w:p>
    <w:p w:rsidR="009A3D68" w:rsidRDefault="00D0260C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9A3D68" w:rsidRDefault="00D0260C">
      <w:pPr>
        <w:pStyle w:val="Bibliography"/>
      </w:pPr>
      <w:bookmarkStart w:id="7" w:name="ref-cochran1954"/>
      <w:bookmarkEnd w:id="5"/>
      <w:r>
        <w:t xml:space="preserve">Cochran, W. G. (1954). The </w:t>
      </w:r>
      <w:r>
        <w:t xml:space="preserve">combination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9A3D68" w:rsidRDefault="00D0260C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</w:t>
      </w:r>
      <w:r>
        <w:rPr>
          <w:i/>
          <w:iCs/>
        </w:rPr>
        <w:t>tatistics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9A3D68" w:rsidRDefault="00D0260C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9A3D68" w:rsidRDefault="00D0260C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9A3D68" w:rsidRDefault="00D0260C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</w:t>
      </w:r>
      <w:r>
        <w:rPr>
          <w:i/>
          <w:iCs/>
        </w:rPr>
        <w:t xml:space="preserve"> assessment and adjustment</w:t>
      </w:r>
      <w:r>
        <w:t xml:space="preserve"> (pp. 99–110). Wiley.</w:t>
      </w:r>
    </w:p>
    <w:p w:rsidR="009A3D68" w:rsidRDefault="00D0260C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9A3D68" w:rsidRDefault="00D0260C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</w:t>
        </w:r>
        <w:r>
          <w:rPr>
            <w:rStyle w:val="Hyperlink"/>
          </w:rPr>
          <w:t>tps://doi.org/10.18637/jss.v036.i03</w:t>
        </w:r>
      </w:hyperlink>
    </w:p>
    <w:p w:rsidR="009A3D68" w:rsidRDefault="00D0260C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</w:t>
        </w:r>
        <w:r>
          <w:rPr>
            <w:rStyle w:val="Hyperlink"/>
          </w:rPr>
          <w:t>11</w:t>
        </w:r>
      </w:hyperlink>
      <w:bookmarkEnd w:id="4"/>
      <w:bookmarkEnd w:id="6"/>
      <w:bookmarkEnd w:id="14"/>
    </w:p>
    <w:sectPr w:rsidR="009A3D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0C" w:rsidRDefault="00D0260C">
      <w:pPr>
        <w:spacing w:after="0"/>
      </w:pPr>
      <w:r>
        <w:separator/>
      </w:r>
    </w:p>
  </w:endnote>
  <w:endnote w:type="continuationSeparator" w:id="0">
    <w:p w:rsidR="00D0260C" w:rsidRDefault="00D02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0C" w:rsidRDefault="00D0260C">
      <w:r>
        <w:separator/>
      </w:r>
    </w:p>
  </w:footnote>
  <w:footnote w:type="continuationSeparator" w:id="0">
    <w:p w:rsidR="00D0260C" w:rsidRDefault="00D02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B3C79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68"/>
    <w:rsid w:val="009A3D68"/>
    <w:rsid w:val="00CE44BE"/>
    <w:rsid w:val="00D0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E8F43-FFC1-4C29-8355-8073AE87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2022-06-04T13:18:00Z</dcterms:created>
  <dcterms:modified xsi:type="dcterms:W3CDTF">2022-06-04T13:18:00Z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