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0DB" w:rsidRPr="00CB562F" w:rsidRDefault="000850DB" w:rsidP="000850DB">
      <w:pPr>
        <w:pStyle w:val="NoSpacing"/>
        <w:jc w:val="center"/>
        <w:rPr>
          <w:rFonts w:cstheme="minorHAnsi"/>
          <w:b/>
          <w:bCs/>
          <w:color w:val="000000" w:themeColor="text1"/>
          <w:sz w:val="26"/>
          <w:szCs w:val="26"/>
        </w:rPr>
      </w:pPr>
      <w:r w:rsidRPr="00CB562F">
        <w:rPr>
          <w:rFonts w:cstheme="minorHAnsi"/>
          <w:b/>
          <w:bCs/>
          <w:color w:val="000000" w:themeColor="text1"/>
          <w:sz w:val="26"/>
          <w:szCs w:val="26"/>
        </w:rPr>
        <w:t>The Study Of Autonomic Status And Hemodynamic Variables In Young Healthy Normotensive Subjects With And Without Parental History Of Essential Hypertension.</w:t>
      </w:r>
    </w:p>
    <w:p w:rsidR="000850DB" w:rsidRPr="00CB562F" w:rsidRDefault="000850DB" w:rsidP="000850DB">
      <w:pPr>
        <w:pStyle w:val="NoSpacing"/>
        <w:jc w:val="center"/>
        <w:rPr>
          <w:rFonts w:cstheme="minorHAnsi"/>
          <w:b/>
          <w:bCs/>
          <w:color w:val="000000" w:themeColor="text1"/>
          <w:vertAlign w:val="superscript"/>
        </w:rPr>
      </w:pPr>
      <w:r w:rsidRPr="00CB562F">
        <w:rPr>
          <w:rFonts w:cstheme="minorHAnsi"/>
          <w:b/>
          <w:bCs/>
          <w:color w:val="000000" w:themeColor="text1"/>
        </w:rPr>
        <w:t>Teena Sogan</w:t>
      </w:r>
      <w:r w:rsidRPr="00CB562F">
        <w:rPr>
          <w:rFonts w:cstheme="minorHAnsi"/>
          <w:b/>
          <w:bCs/>
          <w:color w:val="000000" w:themeColor="text1"/>
          <w:vertAlign w:val="superscript"/>
        </w:rPr>
        <w:t>*</w:t>
      </w:r>
      <w:r w:rsidRPr="00CB562F">
        <w:rPr>
          <w:rFonts w:cstheme="minorHAnsi"/>
          <w:b/>
          <w:bCs/>
          <w:color w:val="000000" w:themeColor="text1"/>
        </w:rPr>
        <w:t>, Keerti Mathur</w:t>
      </w:r>
      <w:r w:rsidRPr="00CB562F">
        <w:rPr>
          <w:rFonts w:cstheme="minorHAnsi"/>
          <w:b/>
          <w:bCs/>
          <w:color w:val="000000" w:themeColor="text1"/>
          <w:vertAlign w:val="superscript"/>
        </w:rPr>
        <w:t>*</w:t>
      </w:r>
    </w:p>
    <w:p w:rsidR="000850DB" w:rsidRPr="00CB562F" w:rsidRDefault="000850DB" w:rsidP="000850DB">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vertAlign w:val="superscript"/>
        </w:rPr>
        <w:t>*</w:t>
      </w:r>
      <w:r w:rsidRPr="00CB562F">
        <w:rPr>
          <w:rFonts w:cstheme="minorHAnsi"/>
          <w:color w:val="000000" w:themeColor="text1"/>
          <w:sz w:val="18"/>
          <w:szCs w:val="18"/>
        </w:rPr>
        <w:t xml:space="preserve">Department of Physiology, SMS medical college, Jaipur (Raj.)- 302004 </w:t>
      </w:r>
    </w:p>
    <w:p w:rsidR="000850DB" w:rsidRPr="00CB562F" w:rsidRDefault="000850DB" w:rsidP="000850DB">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bCs/>
          <w:color w:val="000000" w:themeColor="text1"/>
        </w:rPr>
        <w:t>Background &amp; Objectives:</w:t>
      </w:r>
      <w:r w:rsidRPr="00CB562F">
        <w:rPr>
          <w:rFonts w:cstheme="minorHAnsi"/>
          <w:color w:val="000000" w:themeColor="text1"/>
        </w:rPr>
        <w:t xml:space="preserve"> Normotensive subjects with a family history of hypertension are considered to be at increased risk of developing hypertension. Autonomic control of heart rate is impaired in hypertensive offsprings. Thus the purpose of study was to assess the autonomic activity and hemodynamic variables in young healthy normotensive subjects with parental history of essential hypertension</w:t>
      </w:r>
      <w:r w:rsidRPr="00CB562F">
        <w:rPr>
          <w:rFonts w:cstheme="minorHAnsi"/>
          <w:b/>
          <w:bCs/>
          <w:color w:val="000000" w:themeColor="text1"/>
        </w:rPr>
        <w:t xml:space="preserve">. Method: </w:t>
      </w:r>
      <w:r w:rsidRPr="00CB562F">
        <w:rPr>
          <w:rFonts w:cstheme="minorHAnsi"/>
          <w:color w:val="000000" w:themeColor="text1"/>
        </w:rPr>
        <w:t xml:space="preserve">Sixty young healthy normotensive subjects, with (n = 30) and without (n = 30) parental history of essential hypertension were examined. Autonomic functions were assessed by using heart rate variability analysis. </w:t>
      </w:r>
      <w:r w:rsidRPr="00CB562F">
        <w:rPr>
          <w:rFonts w:cstheme="minorHAnsi"/>
          <w:b/>
          <w:bCs/>
          <w:color w:val="000000" w:themeColor="text1"/>
        </w:rPr>
        <w:t>Results:</w:t>
      </w:r>
      <w:r w:rsidRPr="00CB562F">
        <w:rPr>
          <w:rFonts w:cstheme="minorHAnsi"/>
          <w:color w:val="000000" w:themeColor="text1"/>
        </w:rPr>
        <w:t xml:space="preserve"> In the present study, no significant differences were observed in hemodynamic variables (blood pressure, cardiac output, stroke volume, heart rate, systemic vascular resistance, blood flow index, pulse arrival time, pulse termination time) in both groups. The low frequency power in normalized units was significantly higher (P&lt;0.05) and high frequency power in normalized units was significantly lower (P&lt;0.05) in subjects with positive parental history of essential hypertension. The Low frequency/High frequency ratio was significantly higher (P&lt;0.01) in subjects with positive parental history of essential hypertension. </w:t>
      </w:r>
      <w:r w:rsidRPr="00CB562F">
        <w:rPr>
          <w:rFonts w:cstheme="minorHAnsi"/>
          <w:b/>
          <w:bCs/>
          <w:color w:val="000000" w:themeColor="text1"/>
        </w:rPr>
        <w:t>Interpretation &amp; Conclusion:</w:t>
      </w:r>
      <w:r w:rsidRPr="00CB562F">
        <w:rPr>
          <w:rFonts w:cstheme="minorHAnsi"/>
          <w:color w:val="000000" w:themeColor="text1"/>
        </w:rPr>
        <w:t xml:space="preserve"> The altered sympathovagal balance may be an early marker of increased cardiovascular responsiveness in subjects with genetic predisposition to hypertension. </w:t>
      </w:r>
    </w:p>
    <w:p w:rsidR="000850DB" w:rsidRPr="00CB562F" w:rsidRDefault="000850DB" w:rsidP="000850DB">
      <w:pPr>
        <w:pStyle w:val="NoSpacing"/>
        <w:jc w:val="both"/>
        <w:rPr>
          <w:rFonts w:cstheme="minorHAnsi"/>
          <w:color w:val="000000" w:themeColor="text1"/>
        </w:rPr>
      </w:pPr>
      <w:r w:rsidRPr="00CB562F">
        <w:rPr>
          <w:rFonts w:cstheme="minorHAnsi"/>
          <w:b/>
          <w:bCs/>
          <w:color w:val="000000" w:themeColor="text1"/>
        </w:rPr>
        <w:t xml:space="preserve">Keywords: </w:t>
      </w:r>
      <w:r w:rsidRPr="00CB562F">
        <w:rPr>
          <w:rFonts w:cstheme="minorHAnsi"/>
          <w:color w:val="000000" w:themeColor="text1"/>
        </w:rPr>
        <w:t>Autonomic activity, heart rate variability analysis, hemodynamic variables, impedance plethysmography</w:t>
      </w:r>
      <w:r w:rsidRPr="00CB562F">
        <w:rPr>
          <w:rFonts w:cstheme="minorHAnsi"/>
          <w:b/>
          <w:bCs/>
          <w:color w:val="000000" w:themeColor="text1"/>
        </w:rPr>
        <w:t xml:space="preserve"> </w:t>
      </w:r>
    </w:p>
    <w:p w:rsidR="000850DB" w:rsidRPr="00CB562F" w:rsidRDefault="000850DB" w:rsidP="000850DB">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Teena Sogan, Department of Physiology, SMS medical college, Jaipur (Raj.)- 302004</w:t>
      </w:r>
      <w:r w:rsidRPr="00CB562F">
        <w:rPr>
          <w:rFonts w:cstheme="minorHAnsi"/>
          <w:color w:val="000000" w:themeColor="text1"/>
          <w:sz w:val="18"/>
          <w:szCs w:val="18"/>
        </w:rPr>
        <w:t>.</w:t>
      </w:r>
      <w:r w:rsidRPr="00CB562F">
        <w:rPr>
          <w:rFonts w:cstheme="minorHAnsi"/>
          <w:color w:val="000000" w:themeColor="text1"/>
        </w:rPr>
        <w:t xml:space="preserve">E –mail: </w:t>
      </w:r>
      <w:hyperlink r:id="rId8" w:history="1">
        <w:r w:rsidRPr="00CB562F">
          <w:rPr>
            <w:rFonts w:cstheme="minorHAnsi"/>
            <w:color w:val="000000" w:themeColor="text1"/>
          </w:rPr>
          <w:t>keertimathur@yahoo.com</w:t>
        </w:r>
      </w:hyperlink>
    </w:p>
    <w:p w:rsidR="000850DB" w:rsidRPr="00CB562F" w:rsidRDefault="000850DB" w:rsidP="000850DB">
      <w:pPr>
        <w:pStyle w:val="NoSpacing"/>
        <w:pBdr>
          <w:top w:val="single" w:sz="12" w:space="1" w:color="auto"/>
          <w:bottom w:val="single" w:sz="12" w:space="1" w:color="auto"/>
        </w:pBdr>
        <w:jc w:val="both"/>
        <w:rPr>
          <w:rFonts w:cstheme="minorHAnsi"/>
          <w:b/>
          <w:bCs/>
          <w:color w:val="000000" w:themeColor="text1"/>
        </w:rPr>
        <w:sectPr w:rsidR="000850DB" w:rsidRPr="00CB562F" w:rsidSect="00F9738B">
          <w:type w:val="continuous"/>
          <w:pgSz w:w="11907" w:h="16839" w:code="9"/>
          <w:pgMar w:top="1440" w:right="864" w:bottom="864" w:left="1440" w:header="720" w:footer="144" w:gutter="0"/>
          <w:pgNumType w:start="55"/>
          <w:cols w:space="720"/>
          <w:docGrid w:linePitch="360"/>
        </w:sectPr>
      </w:pPr>
    </w:p>
    <w:p w:rsidR="000850DB" w:rsidRPr="00CB562F" w:rsidRDefault="000850DB" w:rsidP="000850DB">
      <w:pPr>
        <w:pStyle w:val="NoSpacing"/>
        <w:jc w:val="both"/>
        <w:rPr>
          <w:rFonts w:cstheme="minorHAnsi"/>
          <w:color w:val="000000" w:themeColor="text1"/>
        </w:rPr>
      </w:pPr>
      <w:r w:rsidRPr="00CB562F">
        <w:rPr>
          <w:rFonts w:cstheme="minorHAnsi"/>
          <w:b/>
          <w:bCs/>
          <w:color w:val="000000" w:themeColor="text1"/>
          <w:szCs w:val="24"/>
        </w:rPr>
        <w:lastRenderedPageBreak/>
        <w:t xml:space="preserve">Introduction: </w:t>
      </w:r>
      <w:r w:rsidRPr="00CB562F">
        <w:rPr>
          <w:rFonts w:eastAsia="Calibri" w:cstheme="minorHAnsi"/>
          <w:color w:val="000000" w:themeColor="text1"/>
        </w:rPr>
        <w:t>The autonomic drive to the heart with a normal sinoatrial (SA) node</w:t>
      </w:r>
      <w:r w:rsidRPr="00CB562F">
        <w:rPr>
          <w:rFonts w:cstheme="minorHAnsi"/>
          <w:color w:val="000000" w:themeColor="text1"/>
        </w:rPr>
        <w:t xml:space="preserve"> gives valuable insight</w:t>
      </w:r>
      <w:r w:rsidRPr="00CB562F">
        <w:rPr>
          <w:rFonts w:eastAsia="Calibri" w:cstheme="minorHAnsi"/>
          <w:color w:val="000000" w:themeColor="text1"/>
        </w:rPr>
        <w:t xml:space="preserve"> the sympathovagal interplay</w:t>
      </w:r>
      <w:r w:rsidRPr="00CB562F">
        <w:rPr>
          <w:rFonts w:eastAsia="Calibri" w:cstheme="minorHAnsi"/>
          <w:color w:val="000000" w:themeColor="text1"/>
          <w:vertAlign w:val="superscript"/>
        </w:rPr>
        <w:t>1</w:t>
      </w:r>
      <w:r w:rsidRPr="00CB562F">
        <w:rPr>
          <w:rFonts w:eastAsia="Calibri" w:cstheme="minorHAnsi"/>
          <w:color w:val="000000" w:themeColor="text1"/>
        </w:rPr>
        <w:t>. The analysis of heart rate variability evaluates the SA node modulation by the two interactive limbs of autonomic nervous system, namely sympathetic and parasympathetic nervous system</w:t>
      </w:r>
      <w:r w:rsidRPr="00CB562F">
        <w:rPr>
          <w:rFonts w:eastAsia="Calibri" w:cstheme="minorHAnsi"/>
          <w:color w:val="000000" w:themeColor="text1"/>
          <w:vertAlign w:val="superscript"/>
        </w:rPr>
        <w:t>2,3,4</w:t>
      </w:r>
      <w:r w:rsidRPr="00CB562F">
        <w:rPr>
          <w:rFonts w:eastAsia="Calibri" w:cstheme="minorHAnsi"/>
          <w:color w:val="000000" w:themeColor="text1"/>
        </w:rPr>
        <w:t xml:space="preserve">. Hemodynamic variables were assessed on the principle of </w:t>
      </w:r>
      <w:r w:rsidRPr="00CB562F">
        <w:rPr>
          <w:rFonts w:cstheme="minorHAnsi"/>
          <w:color w:val="000000" w:themeColor="text1"/>
        </w:rPr>
        <w:t>Impedance plethysmography (IPG). IPG is used for indirect assessment of blood volume changes in any part of the body in the electrical impedance of the body segment</w:t>
      </w:r>
      <w:r w:rsidRPr="00CB562F">
        <w:rPr>
          <w:rFonts w:cstheme="minorHAnsi"/>
          <w:color w:val="000000" w:themeColor="text1"/>
          <w:vertAlign w:val="superscript"/>
        </w:rPr>
        <w:t>5</w:t>
      </w:r>
      <w:r w:rsidRPr="00CB562F">
        <w:rPr>
          <w:rFonts w:cstheme="minorHAnsi"/>
          <w:color w:val="000000" w:themeColor="text1"/>
        </w:rPr>
        <w:t xml:space="preserve">. </w:t>
      </w:r>
    </w:p>
    <w:p w:rsidR="000850DB" w:rsidRPr="00CB562F" w:rsidRDefault="000850DB" w:rsidP="000850DB">
      <w:pPr>
        <w:pStyle w:val="NoSpacing"/>
        <w:jc w:val="both"/>
        <w:rPr>
          <w:rFonts w:eastAsia="Calibri" w:cstheme="minorHAnsi"/>
          <w:color w:val="000000" w:themeColor="text1"/>
        </w:rPr>
      </w:pPr>
    </w:p>
    <w:p w:rsidR="000850DB" w:rsidRPr="00CB562F" w:rsidRDefault="000850DB" w:rsidP="000850DB">
      <w:pPr>
        <w:pStyle w:val="NoSpacing"/>
        <w:jc w:val="both"/>
        <w:rPr>
          <w:rFonts w:eastAsia="Calibri" w:cstheme="minorHAnsi"/>
          <w:color w:val="000000" w:themeColor="text1"/>
        </w:rPr>
      </w:pPr>
      <w:r w:rsidRPr="00CB562F">
        <w:rPr>
          <w:rFonts w:cstheme="minorHAnsi"/>
          <w:color w:val="000000" w:themeColor="text1"/>
        </w:rPr>
        <w:t>Hypertension is one of the major risk factors for cardiovascular mortality, which accounts for 20-25 % of all death</w:t>
      </w:r>
      <w:r w:rsidRPr="00CB562F">
        <w:rPr>
          <w:rFonts w:cstheme="minorHAnsi"/>
          <w:color w:val="000000" w:themeColor="text1"/>
          <w:vertAlign w:val="superscript"/>
        </w:rPr>
        <w:t>6</w:t>
      </w:r>
      <w:r w:rsidRPr="00CB562F">
        <w:rPr>
          <w:rFonts w:cstheme="minorHAnsi"/>
          <w:color w:val="000000" w:themeColor="text1"/>
        </w:rPr>
        <w:t xml:space="preserve">. </w:t>
      </w:r>
      <w:r w:rsidRPr="00CB562F">
        <w:rPr>
          <w:rFonts w:eastAsia="Calibri" w:cstheme="minorHAnsi"/>
          <w:color w:val="000000" w:themeColor="text1"/>
        </w:rPr>
        <w:t xml:space="preserve">Normotensive subjects with a family history of hypertension are </w:t>
      </w:r>
      <w:r w:rsidRPr="00CB562F">
        <w:rPr>
          <w:rFonts w:cstheme="minorHAnsi"/>
          <w:color w:val="000000" w:themeColor="text1"/>
        </w:rPr>
        <w:t xml:space="preserve">considered to be at increased risk of developing hypertension. </w:t>
      </w:r>
      <w:r w:rsidRPr="00CB562F">
        <w:rPr>
          <w:rFonts w:eastAsia="Calibri" w:cstheme="minorHAnsi"/>
          <w:color w:val="000000" w:themeColor="text1"/>
        </w:rPr>
        <w:t>The children of two normotensive parents had 3% possibility of developing hypertension whereas this possibility is 45% in children of both hypertensive parents</w:t>
      </w:r>
      <w:r w:rsidRPr="00CB562F">
        <w:rPr>
          <w:rFonts w:eastAsia="Calibri" w:cstheme="minorHAnsi"/>
          <w:color w:val="000000" w:themeColor="text1"/>
          <w:vertAlign w:val="superscript"/>
        </w:rPr>
        <w:t>7</w:t>
      </w:r>
      <w:r w:rsidRPr="00CB562F">
        <w:rPr>
          <w:rFonts w:eastAsia="Calibri" w:cstheme="minorHAnsi"/>
          <w:color w:val="000000" w:themeColor="text1"/>
        </w:rPr>
        <w:t xml:space="preserve">. </w:t>
      </w:r>
      <w:r w:rsidRPr="00CB562F">
        <w:rPr>
          <w:rFonts w:cstheme="minorHAnsi"/>
          <w:color w:val="000000" w:themeColor="text1"/>
        </w:rPr>
        <w:t>A</w:t>
      </w:r>
      <w:r w:rsidRPr="00CB562F">
        <w:rPr>
          <w:rFonts w:eastAsia="Calibri" w:cstheme="minorHAnsi"/>
          <w:color w:val="000000" w:themeColor="text1"/>
        </w:rPr>
        <w:t xml:space="preserve">utonomic control of heart rate is impaired in hypertensive offsprings. So, the early diagnosis does have significant effect on cardiovascular autonomic activity in children of hypertensive parents. </w:t>
      </w:r>
      <w:r w:rsidRPr="00CB562F">
        <w:rPr>
          <w:rFonts w:cstheme="minorHAnsi"/>
          <w:color w:val="000000" w:themeColor="text1"/>
        </w:rPr>
        <w:t>Thus the present study was planned to assess the autonomic activity and hemodynamic variables in normotensive subjects of hypertensive parents.</w:t>
      </w:r>
    </w:p>
    <w:p w:rsidR="000850DB" w:rsidRPr="00CB562F" w:rsidRDefault="000850DB" w:rsidP="000850DB">
      <w:pPr>
        <w:pStyle w:val="NoSpacing"/>
        <w:jc w:val="both"/>
        <w:rPr>
          <w:rFonts w:cstheme="minorHAnsi"/>
          <w:color w:val="000000" w:themeColor="text1"/>
        </w:rPr>
      </w:pPr>
    </w:p>
    <w:p w:rsidR="000850DB" w:rsidRPr="00CB562F" w:rsidRDefault="000850DB" w:rsidP="000850DB">
      <w:pPr>
        <w:pStyle w:val="NoSpacing"/>
        <w:jc w:val="both"/>
        <w:rPr>
          <w:rFonts w:cstheme="minorHAnsi"/>
          <w:color w:val="000000" w:themeColor="text1"/>
        </w:rPr>
      </w:pPr>
      <w:r w:rsidRPr="00CB562F">
        <w:rPr>
          <w:rFonts w:cstheme="minorHAnsi"/>
          <w:b/>
          <w:bCs/>
          <w:color w:val="000000" w:themeColor="text1"/>
          <w:szCs w:val="24"/>
        </w:rPr>
        <w:lastRenderedPageBreak/>
        <w:t xml:space="preserve">Material and Method: </w:t>
      </w:r>
      <w:r w:rsidRPr="00CB562F">
        <w:rPr>
          <w:rFonts w:eastAsia="Calibri" w:cstheme="minorHAnsi"/>
          <w:color w:val="000000" w:themeColor="text1"/>
        </w:rPr>
        <w:t xml:space="preserve">The present study was carried out in the upgraded Department of Physiology, SMS Medical College, Jaipur. </w:t>
      </w:r>
      <w:r w:rsidRPr="00CB562F">
        <w:rPr>
          <w:rFonts w:cstheme="minorHAnsi"/>
          <w:color w:val="000000" w:themeColor="text1"/>
        </w:rPr>
        <w:t>Sixty non alcoholic, non smoking, young healthy normotensive medical students of either gender aged 18-25 years were recruited for the study after obtaining written informed consent to a protocol that was approved by the institutional ethics review board. A detailed history of subjects was taken with main emphasis on the parental history of essential hypertension. Subjects were divided into two groups:</w:t>
      </w:r>
    </w:p>
    <w:p w:rsidR="000850DB" w:rsidRPr="00CB562F" w:rsidRDefault="000850DB" w:rsidP="000850DB">
      <w:pPr>
        <w:pStyle w:val="NoSpacing"/>
        <w:jc w:val="both"/>
        <w:rPr>
          <w:rFonts w:cstheme="minorHAnsi"/>
          <w:color w:val="000000" w:themeColor="text1"/>
        </w:rPr>
      </w:pPr>
      <w:r w:rsidRPr="00CB562F">
        <w:rPr>
          <w:rFonts w:cstheme="minorHAnsi"/>
          <w:color w:val="000000" w:themeColor="text1"/>
        </w:rPr>
        <w:t xml:space="preserve"> 1) Subjects with parental history of Essential Hypertension (FH</w:t>
      </w:r>
      <w:r w:rsidRPr="00CB562F">
        <w:rPr>
          <w:rFonts w:cstheme="minorHAnsi"/>
          <w:color w:val="000000" w:themeColor="text1"/>
          <w:vertAlign w:val="superscript"/>
        </w:rPr>
        <w:t>+</w:t>
      </w:r>
      <w:r w:rsidRPr="00CB562F">
        <w:rPr>
          <w:rFonts w:cstheme="minorHAnsi"/>
          <w:color w:val="000000" w:themeColor="text1"/>
        </w:rPr>
        <w:t>, n=30)</w:t>
      </w:r>
    </w:p>
    <w:p w:rsidR="000850DB" w:rsidRPr="00CB562F" w:rsidRDefault="000850DB" w:rsidP="000850DB">
      <w:pPr>
        <w:pStyle w:val="NoSpacing"/>
        <w:jc w:val="both"/>
        <w:rPr>
          <w:rFonts w:cstheme="minorHAnsi"/>
          <w:color w:val="000000" w:themeColor="text1"/>
        </w:rPr>
      </w:pPr>
      <w:r w:rsidRPr="00CB562F">
        <w:rPr>
          <w:rFonts w:cstheme="minorHAnsi"/>
          <w:color w:val="000000" w:themeColor="text1"/>
        </w:rPr>
        <w:t>2) Subjects without parental history of Essential Hypertension (FH</w:t>
      </w:r>
      <w:r w:rsidRPr="00CB562F">
        <w:rPr>
          <w:rFonts w:cstheme="minorHAnsi"/>
          <w:color w:val="000000" w:themeColor="text1"/>
          <w:vertAlign w:val="superscript"/>
        </w:rPr>
        <w:t>-</w:t>
      </w:r>
      <w:r w:rsidRPr="00CB562F">
        <w:rPr>
          <w:rFonts w:cstheme="minorHAnsi"/>
          <w:color w:val="000000" w:themeColor="text1"/>
        </w:rPr>
        <w:t>, n=30).</w:t>
      </w:r>
    </w:p>
    <w:p w:rsidR="000850DB" w:rsidRPr="00CB562F" w:rsidRDefault="000850DB" w:rsidP="000850DB">
      <w:pPr>
        <w:pStyle w:val="NoSpacing"/>
        <w:jc w:val="both"/>
        <w:rPr>
          <w:rFonts w:cstheme="minorHAnsi"/>
          <w:color w:val="000000" w:themeColor="text1"/>
        </w:rPr>
      </w:pPr>
    </w:p>
    <w:p w:rsidR="000850DB" w:rsidRPr="00CB562F" w:rsidRDefault="000850DB" w:rsidP="000850DB">
      <w:pPr>
        <w:pStyle w:val="NoSpacing"/>
        <w:jc w:val="both"/>
        <w:rPr>
          <w:rFonts w:cstheme="minorHAnsi"/>
          <w:color w:val="000000" w:themeColor="text1"/>
        </w:rPr>
      </w:pPr>
      <w:r w:rsidRPr="00CB562F">
        <w:rPr>
          <w:rFonts w:cstheme="minorHAnsi"/>
          <w:color w:val="000000" w:themeColor="text1"/>
        </w:rPr>
        <w:t xml:space="preserve">All subjects had normal medical history and physical examination. Autonomic evaluation was carried out in the morning from 10.00 to 12.00 noon, 2 hours after a light breakfast and after familiarizing the subjects with the test procedures. </w:t>
      </w:r>
      <w:r w:rsidRPr="00CB562F">
        <w:rPr>
          <w:rFonts w:eastAsia="Calibri" w:cstheme="minorHAnsi"/>
          <w:color w:val="000000" w:themeColor="text1"/>
        </w:rPr>
        <w:t>For the calculation of body mass index, body weight was measured in kilogram and height was measured in inch by using Stadiometer on scale (Feca 100 Jahre, Waagenbau).</w:t>
      </w:r>
      <w:r w:rsidRPr="00CB562F">
        <w:rPr>
          <w:rFonts w:cstheme="minorHAnsi"/>
          <w:color w:val="000000" w:themeColor="text1"/>
        </w:rPr>
        <w:t xml:space="preserve"> After 5 minutes of supine rest, blood pressure was taken by using mercury sphygmomanometer. Heart rate </w:t>
      </w:r>
      <w:r w:rsidRPr="00CB562F">
        <w:rPr>
          <w:rFonts w:eastAsia="Calibri" w:cstheme="minorHAnsi"/>
          <w:color w:val="000000" w:themeColor="text1"/>
        </w:rPr>
        <w:t xml:space="preserve">variability and hemodynamic </w:t>
      </w:r>
      <w:r w:rsidRPr="00CB562F">
        <w:rPr>
          <w:rFonts w:cstheme="minorHAnsi"/>
          <w:color w:val="000000" w:themeColor="text1"/>
        </w:rPr>
        <w:t xml:space="preserve">variables were </w:t>
      </w:r>
      <w:r w:rsidRPr="00CB562F">
        <w:rPr>
          <w:rFonts w:eastAsia="Calibri" w:cstheme="minorHAnsi"/>
          <w:color w:val="000000" w:themeColor="text1"/>
        </w:rPr>
        <w:t xml:space="preserve">recorded by the </w:t>
      </w:r>
      <w:r w:rsidRPr="00CB562F">
        <w:rPr>
          <w:rFonts w:eastAsia="Calibri" w:cstheme="minorHAnsi"/>
          <w:color w:val="000000" w:themeColor="text1"/>
        </w:rPr>
        <w:lastRenderedPageBreak/>
        <w:t>medical analyzer module based on principle of impedance plethysmography (NIVOMON, L &amp; T)</w:t>
      </w:r>
    </w:p>
    <w:p w:rsidR="000850DB" w:rsidRPr="00CB562F" w:rsidRDefault="000850DB" w:rsidP="000850DB">
      <w:pPr>
        <w:pStyle w:val="NoSpacing"/>
        <w:jc w:val="both"/>
        <w:rPr>
          <w:rFonts w:cstheme="minorHAnsi"/>
          <w:color w:val="000000" w:themeColor="text1"/>
        </w:rPr>
      </w:pPr>
    </w:p>
    <w:p w:rsidR="000850DB" w:rsidRPr="00CB562F" w:rsidRDefault="000850DB" w:rsidP="000850DB">
      <w:pPr>
        <w:pStyle w:val="NoSpacing"/>
        <w:jc w:val="both"/>
        <w:rPr>
          <w:rFonts w:cstheme="minorHAnsi"/>
          <w:color w:val="000000" w:themeColor="text1"/>
        </w:rPr>
      </w:pPr>
      <w:r w:rsidRPr="00CB562F">
        <w:rPr>
          <w:rFonts w:cstheme="minorHAnsi"/>
          <w:color w:val="000000" w:themeColor="text1"/>
        </w:rPr>
        <w:t xml:space="preserve">Heart rate variability (HRV):- </w:t>
      </w:r>
      <w:r w:rsidRPr="00CB562F">
        <w:rPr>
          <w:rFonts w:eastAsia="Calibri" w:cstheme="minorHAnsi"/>
          <w:color w:val="000000" w:themeColor="text1"/>
        </w:rPr>
        <w:t>The analysis of signal was done in frequency domain measures. For short term analysis of HRV, impedance peripheral pulse in the right forearm was recorded in the supine position for 5 minutes after 10 minutes of supine rest. Room ambient temperature was maintained between  24-25</w:t>
      </w:r>
      <w:r w:rsidRPr="00CB562F">
        <w:rPr>
          <w:rFonts w:eastAsia="Calibri" w:cstheme="minorHAnsi"/>
          <w:color w:val="000000" w:themeColor="text1"/>
          <w:vertAlign w:val="superscript"/>
        </w:rPr>
        <w:t xml:space="preserve">0 </w:t>
      </w:r>
      <w:r w:rsidRPr="00CB562F">
        <w:rPr>
          <w:rFonts w:eastAsia="Calibri" w:cstheme="minorHAnsi"/>
          <w:color w:val="000000" w:themeColor="text1"/>
        </w:rPr>
        <w:t>C. The impedance peripheral pulse wave signals were continuously amplified, digitized and stored in the computer for offline analysis in frequency domains.</w:t>
      </w:r>
      <w:r w:rsidRPr="00CB562F">
        <w:rPr>
          <w:rFonts w:cstheme="minorHAnsi"/>
          <w:color w:val="000000" w:themeColor="text1"/>
        </w:rPr>
        <w:t xml:space="preserve"> </w:t>
      </w:r>
      <w:r w:rsidRPr="00CB562F">
        <w:rPr>
          <w:rFonts w:eastAsia="Calibri" w:cstheme="minorHAnsi"/>
          <w:color w:val="000000" w:themeColor="text1"/>
        </w:rPr>
        <w:t>The detection of impedance peripheral wave was digitally done by medical analyzer, Non-invasive Vascular Monitor (NIVOMON, L &amp; T). Abnormal beats and areas of artefacts were automatically and manually identified and excluded from the study.</w:t>
      </w:r>
    </w:p>
    <w:p w:rsidR="000850DB" w:rsidRPr="00CB562F" w:rsidRDefault="000850DB" w:rsidP="000850DB">
      <w:pPr>
        <w:pStyle w:val="NoSpacing"/>
        <w:jc w:val="both"/>
        <w:rPr>
          <w:rFonts w:cstheme="minorHAnsi"/>
          <w:color w:val="000000" w:themeColor="text1"/>
        </w:rPr>
      </w:pPr>
    </w:p>
    <w:p w:rsidR="000850DB" w:rsidRPr="00CB562F" w:rsidRDefault="000850DB" w:rsidP="000850DB">
      <w:pPr>
        <w:pStyle w:val="NoSpacing"/>
        <w:jc w:val="both"/>
        <w:rPr>
          <w:rFonts w:cstheme="minorHAnsi"/>
          <w:color w:val="000000" w:themeColor="text1"/>
        </w:rPr>
      </w:pPr>
      <w:r w:rsidRPr="00CB562F">
        <w:rPr>
          <w:rFonts w:cstheme="minorHAnsi"/>
          <w:color w:val="000000" w:themeColor="text1"/>
        </w:rPr>
        <w:t>In the present study, the power spectrum is subsequently divided into three frequency bands: Very low frequency (VLF) (&lt;0.04 Hz), Low frequency (LF) (0.04-0.15 Hz) and High frequency (HF) (0.15-0.4Hz). Powers of spectral bands are calculated in absolute units (ms</w:t>
      </w:r>
      <w:r w:rsidRPr="00CB562F">
        <w:rPr>
          <w:rFonts w:cstheme="minorHAnsi"/>
          <w:color w:val="000000" w:themeColor="text1"/>
          <w:vertAlign w:val="superscript"/>
        </w:rPr>
        <w:t>2</w:t>
      </w:r>
      <w:r w:rsidRPr="00CB562F">
        <w:rPr>
          <w:rFonts w:cstheme="minorHAnsi"/>
          <w:color w:val="000000" w:themeColor="text1"/>
        </w:rPr>
        <w:t>) and normalized units (nu)</w:t>
      </w:r>
      <w:r w:rsidRPr="00CB562F">
        <w:rPr>
          <w:rFonts w:cstheme="minorHAnsi"/>
          <w:color w:val="000000" w:themeColor="text1"/>
          <w:vertAlign w:val="superscript"/>
        </w:rPr>
        <w:t>4</w:t>
      </w:r>
      <w:r w:rsidRPr="00CB562F">
        <w:rPr>
          <w:rFonts w:cstheme="minorHAnsi"/>
          <w:color w:val="000000" w:themeColor="text1"/>
        </w:rPr>
        <w:t xml:space="preserve">. </w:t>
      </w:r>
      <w:r w:rsidRPr="00CB562F">
        <w:rPr>
          <w:rFonts w:eastAsia="Calibri" w:cstheme="minorHAnsi"/>
          <w:color w:val="000000" w:themeColor="text1"/>
        </w:rPr>
        <w:t xml:space="preserve">The normalized units were calculated as:  </w:t>
      </w:r>
    </w:p>
    <w:p w:rsidR="000850DB" w:rsidRPr="00CB562F" w:rsidRDefault="000850DB" w:rsidP="000850DB">
      <w:pPr>
        <w:pStyle w:val="NoSpacing"/>
        <w:jc w:val="both"/>
        <w:rPr>
          <w:rFonts w:eastAsia="Calibri" w:cstheme="minorHAnsi"/>
          <w:color w:val="000000" w:themeColor="text1"/>
        </w:rPr>
      </w:pPr>
      <w:r w:rsidRPr="00CB562F">
        <w:rPr>
          <w:rFonts w:eastAsia="Calibri" w:cstheme="minorHAnsi"/>
          <w:color w:val="000000" w:themeColor="text1"/>
        </w:rPr>
        <w:t xml:space="preserve">High frequency power in </w:t>
      </w:r>
      <w:r w:rsidRPr="00CB562F">
        <w:rPr>
          <w:rFonts w:cstheme="minorHAnsi"/>
          <w:color w:val="000000" w:themeColor="text1"/>
        </w:rPr>
        <w:t>normalized units (</w:t>
      </w:r>
      <w:r w:rsidRPr="00CB562F">
        <w:rPr>
          <w:rFonts w:eastAsia="Calibri" w:cstheme="minorHAnsi"/>
          <w:color w:val="000000" w:themeColor="text1"/>
        </w:rPr>
        <w:t>HF nu) = (HF ms</w:t>
      </w:r>
      <w:r w:rsidRPr="00CB562F">
        <w:rPr>
          <w:rFonts w:eastAsia="Calibri" w:cstheme="minorHAnsi"/>
          <w:color w:val="000000" w:themeColor="text1"/>
          <w:vertAlign w:val="superscript"/>
        </w:rPr>
        <w:t>2</w:t>
      </w:r>
      <w:r w:rsidRPr="00CB562F">
        <w:rPr>
          <w:rFonts w:eastAsia="Calibri" w:cstheme="minorHAnsi"/>
          <w:color w:val="000000" w:themeColor="text1"/>
        </w:rPr>
        <w:t>) / (LF ms</w:t>
      </w:r>
      <w:r w:rsidRPr="00CB562F">
        <w:rPr>
          <w:rFonts w:eastAsia="Calibri" w:cstheme="minorHAnsi"/>
          <w:color w:val="000000" w:themeColor="text1"/>
          <w:vertAlign w:val="superscript"/>
        </w:rPr>
        <w:t>2</w:t>
      </w:r>
      <w:r w:rsidRPr="00CB562F">
        <w:rPr>
          <w:rFonts w:eastAsia="Calibri" w:cstheme="minorHAnsi"/>
          <w:color w:val="000000" w:themeColor="text1"/>
        </w:rPr>
        <w:t xml:space="preserve"> + HF ms</w:t>
      </w:r>
      <w:r w:rsidRPr="00CB562F">
        <w:rPr>
          <w:rFonts w:eastAsia="Calibri" w:cstheme="minorHAnsi"/>
          <w:color w:val="000000" w:themeColor="text1"/>
          <w:vertAlign w:val="superscript"/>
        </w:rPr>
        <w:t>2</w:t>
      </w:r>
      <w:r w:rsidRPr="00CB562F">
        <w:rPr>
          <w:rFonts w:eastAsia="Calibri" w:cstheme="minorHAnsi"/>
          <w:color w:val="000000" w:themeColor="text1"/>
        </w:rPr>
        <w:t xml:space="preserve">) × 100) </w:t>
      </w:r>
    </w:p>
    <w:p w:rsidR="000850DB" w:rsidRPr="00CB562F" w:rsidRDefault="000850DB" w:rsidP="000850DB">
      <w:pPr>
        <w:pStyle w:val="NoSpacing"/>
        <w:jc w:val="both"/>
        <w:rPr>
          <w:rFonts w:eastAsia="Calibri" w:cstheme="minorHAnsi"/>
          <w:color w:val="000000" w:themeColor="text1"/>
        </w:rPr>
      </w:pPr>
      <w:r w:rsidRPr="00CB562F">
        <w:rPr>
          <w:rFonts w:eastAsia="Calibri" w:cstheme="minorHAnsi"/>
          <w:color w:val="000000" w:themeColor="text1"/>
        </w:rPr>
        <w:t xml:space="preserve">Low frequency power in </w:t>
      </w:r>
      <w:r w:rsidRPr="00CB562F">
        <w:rPr>
          <w:rFonts w:cstheme="minorHAnsi"/>
          <w:color w:val="000000" w:themeColor="text1"/>
        </w:rPr>
        <w:t>normalized units</w:t>
      </w:r>
      <w:r w:rsidRPr="00CB562F">
        <w:rPr>
          <w:rFonts w:eastAsia="Calibri" w:cstheme="minorHAnsi"/>
          <w:color w:val="000000" w:themeColor="text1"/>
        </w:rPr>
        <w:t xml:space="preserve"> (LF nu) = (LF ms</w:t>
      </w:r>
      <w:r w:rsidRPr="00CB562F">
        <w:rPr>
          <w:rFonts w:eastAsia="Calibri" w:cstheme="minorHAnsi"/>
          <w:color w:val="000000" w:themeColor="text1"/>
          <w:vertAlign w:val="superscript"/>
        </w:rPr>
        <w:t>2</w:t>
      </w:r>
      <w:r w:rsidRPr="00CB562F">
        <w:rPr>
          <w:rFonts w:eastAsia="Calibri" w:cstheme="minorHAnsi"/>
          <w:color w:val="000000" w:themeColor="text1"/>
        </w:rPr>
        <w:t>) / (LF ms</w:t>
      </w:r>
      <w:r w:rsidRPr="00CB562F">
        <w:rPr>
          <w:rFonts w:eastAsia="Calibri" w:cstheme="minorHAnsi"/>
          <w:color w:val="000000" w:themeColor="text1"/>
          <w:vertAlign w:val="superscript"/>
        </w:rPr>
        <w:t>2</w:t>
      </w:r>
      <w:r w:rsidRPr="00CB562F">
        <w:rPr>
          <w:rFonts w:eastAsia="Calibri" w:cstheme="minorHAnsi"/>
          <w:color w:val="000000" w:themeColor="text1"/>
        </w:rPr>
        <w:t xml:space="preserve"> + HF ms</w:t>
      </w:r>
      <w:r w:rsidRPr="00CB562F">
        <w:rPr>
          <w:rFonts w:eastAsia="Calibri" w:cstheme="minorHAnsi"/>
          <w:color w:val="000000" w:themeColor="text1"/>
          <w:vertAlign w:val="superscript"/>
        </w:rPr>
        <w:t>2</w:t>
      </w:r>
      <w:r w:rsidRPr="00CB562F">
        <w:rPr>
          <w:rFonts w:eastAsia="Calibri" w:cstheme="minorHAnsi"/>
          <w:color w:val="000000" w:themeColor="text1"/>
        </w:rPr>
        <w:t>) × 100)</w:t>
      </w:r>
      <w:r w:rsidRPr="00CB562F">
        <w:rPr>
          <w:rFonts w:eastAsia="Calibri" w:cstheme="minorHAnsi"/>
          <w:color w:val="000000" w:themeColor="text1"/>
          <w:vertAlign w:val="superscript"/>
        </w:rPr>
        <w:t>8</w:t>
      </w:r>
      <w:r w:rsidRPr="00CB562F">
        <w:rPr>
          <w:rFonts w:eastAsia="Calibri" w:cstheme="minorHAnsi"/>
          <w:color w:val="000000" w:themeColor="text1"/>
        </w:rPr>
        <w:t>.</w:t>
      </w:r>
    </w:p>
    <w:p w:rsidR="000850DB" w:rsidRPr="00CB562F" w:rsidRDefault="000850DB" w:rsidP="000850DB">
      <w:pPr>
        <w:pStyle w:val="NoSpacing"/>
        <w:jc w:val="both"/>
        <w:rPr>
          <w:rFonts w:cstheme="minorHAnsi"/>
          <w:color w:val="000000" w:themeColor="text1"/>
        </w:rPr>
      </w:pPr>
    </w:p>
    <w:p w:rsidR="000850DB" w:rsidRPr="00CB562F" w:rsidRDefault="000850DB" w:rsidP="000850DB">
      <w:pPr>
        <w:pStyle w:val="NoSpacing"/>
        <w:jc w:val="both"/>
        <w:rPr>
          <w:rFonts w:eastAsia="Calibri" w:cstheme="minorHAnsi"/>
          <w:color w:val="000000" w:themeColor="text1"/>
        </w:rPr>
      </w:pPr>
      <w:r w:rsidRPr="00CB562F">
        <w:rPr>
          <w:rFonts w:cstheme="minorHAnsi"/>
          <w:color w:val="000000" w:themeColor="text1"/>
        </w:rPr>
        <w:t xml:space="preserve">Hemodynamic variables: </w:t>
      </w:r>
      <w:r w:rsidRPr="00CB562F">
        <w:rPr>
          <w:rFonts w:eastAsia="Calibri" w:cstheme="minorHAnsi"/>
          <w:color w:val="000000" w:themeColor="text1"/>
        </w:rPr>
        <w:t>According to the procedure described by Barde et al, (2006), for the assessment of cardiac output</w:t>
      </w:r>
      <w:r w:rsidRPr="00CB562F">
        <w:rPr>
          <w:rFonts w:cstheme="minorHAnsi"/>
          <w:color w:val="000000" w:themeColor="text1"/>
        </w:rPr>
        <w:t xml:space="preserve"> (CO)</w:t>
      </w:r>
      <w:r w:rsidRPr="00CB562F">
        <w:rPr>
          <w:rFonts w:eastAsia="Calibri" w:cstheme="minorHAnsi"/>
          <w:color w:val="000000" w:themeColor="text1"/>
        </w:rPr>
        <w:t>, stroke volume</w:t>
      </w:r>
      <w:r w:rsidRPr="00CB562F">
        <w:rPr>
          <w:rFonts w:cstheme="minorHAnsi"/>
          <w:color w:val="000000" w:themeColor="text1"/>
        </w:rPr>
        <w:t xml:space="preserve"> (SV)</w:t>
      </w:r>
      <w:r w:rsidRPr="00CB562F">
        <w:rPr>
          <w:rFonts w:eastAsia="Calibri" w:cstheme="minorHAnsi"/>
          <w:color w:val="000000" w:themeColor="text1"/>
        </w:rPr>
        <w:t>, heart rate</w:t>
      </w:r>
      <w:r w:rsidRPr="00CB562F">
        <w:rPr>
          <w:rFonts w:cstheme="minorHAnsi"/>
          <w:color w:val="000000" w:themeColor="text1"/>
        </w:rPr>
        <w:t xml:space="preserve"> (HR)</w:t>
      </w:r>
      <w:r w:rsidRPr="00CB562F">
        <w:rPr>
          <w:rFonts w:eastAsia="Calibri" w:cstheme="minorHAnsi"/>
          <w:color w:val="000000" w:themeColor="text1"/>
        </w:rPr>
        <w:t xml:space="preserve"> and systemic vascular resistance</w:t>
      </w:r>
      <w:r w:rsidRPr="00CB562F">
        <w:rPr>
          <w:rFonts w:cstheme="minorHAnsi"/>
          <w:color w:val="000000" w:themeColor="text1"/>
        </w:rPr>
        <w:t xml:space="preserve"> (SVR)</w:t>
      </w:r>
      <w:r w:rsidRPr="00CB562F">
        <w:rPr>
          <w:rFonts w:eastAsia="Calibri" w:cstheme="minorHAnsi"/>
          <w:color w:val="000000" w:themeColor="text1"/>
        </w:rPr>
        <w:t>, non-invasive cardiac output (NICO) monitor was connected to subject via 4 spot electrodes in supine position. Amongst 4 spot electrodes used, two were current injecting electrodes (I</w:t>
      </w:r>
      <w:r w:rsidRPr="00CB562F">
        <w:rPr>
          <w:rFonts w:eastAsia="Calibri" w:cstheme="minorHAnsi"/>
          <w:color w:val="000000" w:themeColor="text1"/>
          <w:vertAlign w:val="subscript"/>
        </w:rPr>
        <w:t>1</w:t>
      </w:r>
      <w:r w:rsidRPr="00CB562F">
        <w:rPr>
          <w:rFonts w:eastAsia="Calibri" w:cstheme="minorHAnsi"/>
          <w:color w:val="000000" w:themeColor="text1"/>
        </w:rPr>
        <w:t>, I</w:t>
      </w:r>
      <w:r w:rsidRPr="00CB562F">
        <w:rPr>
          <w:rFonts w:eastAsia="Calibri" w:cstheme="minorHAnsi"/>
          <w:color w:val="000000" w:themeColor="text1"/>
          <w:vertAlign w:val="subscript"/>
        </w:rPr>
        <w:t>2</w:t>
      </w:r>
      <w:r w:rsidRPr="00CB562F">
        <w:rPr>
          <w:rFonts w:eastAsia="Calibri" w:cstheme="minorHAnsi"/>
          <w:color w:val="000000" w:themeColor="text1"/>
        </w:rPr>
        <w:t>), and other two were voltage-sensing electrode (V</w:t>
      </w:r>
      <w:r w:rsidRPr="00CB562F">
        <w:rPr>
          <w:rFonts w:eastAsia="Calibri" w:cstheme="minorHAnsi"/>
          <w:color w:val="000000" w:themeColor="text1"/>
          <w:vertAlign w:val="subscript"/>
        </w:rPr>
        <w:t>1</w:t>
      </w:r>
      <w:r w:rsidRPr="00CB562F">
        <w:rPr>
          <w:rFonts w:eastAsia="Calibri" w:cstheme="minorHAnsi"/>
          <w:color w:val="000000" w:themeColor="text1"/>
        </w:rPr>
        <w:t>, V</w:t>
      </w:r>
      <w:r w:rsidRPr="00CB562F">
        <w:rPr>
          <w:rFonts w:eastAsia="Calibri" w:cstheme="minorHAnsi"/>
          <w:color w:val="000000" w:themeColor="text1"/>
          <w:vertAlign w:val="subscript"/>
        </w:rPr>
        <w:t>2</w:t>
      </w:r>
      <w:r w:rsidRPr="00CB562F">
        <w:rPr>
          <w:rFonts w:eastAsia="Calibri" w:cstheme="minorHAnsi"/>
          <w:color w:val="000000" w:themeColor="text1"/>
        </w:rPr>
        <w:t>). V</w:t>
      </w:r>
      <w:r w:rsidRPr="00CB562F">
        <w:rPr>
          <w:rFonts w:eastAsia="Calibri" w:cstheme="minorHAnsi"/>
          <w:color w:val="000000" w:themeColor="text1"/>
          <w:vertAlign w:val="subscript"/>
        </w:rPr>
        <w:t>1</w:t>
      </w:r>
      <w:r w:rsidRPr="00CB562F">
        <w:rPr>
          <w:rFonts w:eastAsia="Calibri" w:cstheme="minorHAnsi"/>
          <w:color w:val="000000" w:themeColor="text1"/>
        </w:rPr>
        <w:t xml:space="preserve"> was placed in the mid axillary line at the level of xiphisternum and V</w:t>
      </w:r>
      <w:r w:rsidRPr="00CB562F">
        <w:rPr>
          <w:rFonts w:eastAsia="Calibri" w:cstheme="minorHAnsi"/>
          <w:color w:val="000000" w:themeColor="text1"/>
          <w:vertAlign w:val="subscript"/>
        </w:rPr>
        <w:t>2</w:t>
      </w:r>
      <w:r w:rsidRPr="00CB562F">
        <w:rPr>
          <w:rFonts w:eastAsia="Calibri" w:cstheme="minorHAnsi"/>
          <w:color w:val="000000" w:themeColor="text1"/>
        </w:rPr>
        <w:t xml:space="preserve"> was positioned at the base of neck. I</w:t>
      </w:r>
      <w:r w:rsidRPr="00CB562F">
        <w:rPr>
          <w:rFonts w:eastAsia="Calibri" w:cstheme="minorHAnsi"/>
          <w:color w:val="000000" w:themeColor="text1"/>
          <w:vertAlign w:val="subscript"/>
        </w:rPr>
        <w:t>1</w:t>
      </w:r>
      <w:r w:rsidRPr="00CB562F">
        <w:rPr>
          <w:rFonts w:eastAsia="Calibri" w:cstheme="minorHAnsi"/>
          <w:color w:val="000000" w:themeColor="text1"/>
        </w:rPr>
        <w:t xml:space="preserve"> was placed at the top of the neck and I</w:t>
      </w:r>
      <w:r w:rsidRPr="00CB562F">
        <w:rPr>
          <w:rFonts w:eastAsia="Calibri" w:cstheme="minorHAnsi"/>
          <w:color w:val="000000" w:themeColor="text1"/>
          <w:vertAlign w:val="subscript"/>
        </w:rPr>
        <w:t>2</w:t>
      </w:r>
      <w:r w:rsidRPr="00CB562F">
        <w:rPr>
          <w:rFonts w:eastAsia="Calibri" w:cstheme="minorHAnsi"/>
          <w:color w:val="000000" w:themeColor="text1"/>
        </w:rPr>
        <w:t xml:space="preserve"> was placed below the V</w:t>
      </w:r>
      <w:r w:rsidRPr="00CB562F">
        <w:rPr>
          <w:rFonts w:eastAsia="Calibri" w:cstheme="minorHAnsi"/>
          <w:color w:val="000000" w:themeColor="text1"/>
          <w:vertAlign w:val="subscript"/>
        </w:rPr>
        <w:t>2</w:t>
      </w:r>
      <w:r w:rsidRPr="00CB562F">
        <w:rPr>
          <w:rFonts w:eastAsia="Calibri" w:cstheme="minorHAnsi"/>
          <w:color w:val="000000" w:themeColor="text1"/>
          <w:vertAlign w:val="superscript"/>
        </w:rPr>
        <w:t>9</w:t>
      </w:r>
      <w:r w:rsidRPr="00CB562F">
        <w:rPr>
          <w:rFonts w:eastAsia="Calibri" w:cstheme="minorHAnsi"/>
          <w:color w:val="000000" w:themeColor="text1"/>
        </w:rPr>
        <w:t xml:space="preserve">. </w:t>
      </w:r>
    </w:p>
    <w:p w:rsidR="000850DB" w:rsidRPr="00CB562F" w:rsidRDefault="000850DB" w:rsidP="000850DB">
      <w:pPr>
        <w:pStyle w:val="NoSpacing"/>
        <w:jc w:val="both"/>
        <w:rPr>
          <w:rFonts w:eastAsia="Calibri" w:cstheme="minorHAnsi"/>
          <w:color w:val="000000" w:themeColor="text1"/>
        </w:rPr>
      </w:pPr>
      <w:r w:rsidRPr="00CB562F">
        <w:rPr>
          <w:rFonts w:eastAsia="Calibri" w:cstheme="minorHAnsi"/>
          <w:color w:val="000000" w:themeColor="text1"/>
        </w:rPr>
        <w:t>IPG monitor was used for the estimation of blood flow index (BFI), pulse arrival time (PAT) and pulse termination time (PTT). Impedance plethysmography monitor was connected to subject in supine position. Selected investigation was upper extremities and right forearm leads were selected for data acquisition</w:t>
      </w:r>
      <w:r w:rsidRPr="00CB562F">
        <w:rPr>
          <w:rFonts w:cstheme="minorHAnsi"/>
          <w:color w:val="000000" w:themeColor="text1"/>
          <w:vertAlign w:val="superscript"/>
        </w:rPr>
        <w:t>5</w:t>
      </w:r>
      <w:r w:rsidRPr="00CB562F">
        <w:rPr>
          <w:rFonts w:eastAsia="Calibri" w:cstheme="minorHAnsi"/>
          <w:color w:val="000000" w:themeColor="text1"/>
        </w:rPr>
        <w:t>.</w:t>
      </w:r>
    </w:p>
    <w:p w:rsidR="000850DB" w:rsidRPr="00CB562F" w:rsidRDefault="000850DB" w:rsidP="000850DB">
      <w:pPr>
        <w:pStyle w:val="NoSpacing"/>
        <w:jc w:val="both"/>
        <w:rPr>
          <w:rFonts w:eastAsia="Calibri" w:cstheme="minorHAnsi"/>
          <w:color w:val="000000" w:themeColor="text1"/>
        </w:rPr>
      </w:pPr>
    </w:p>
    <w:p w:rsidR="000850DB" w:rsidRPr="00CB562F" w:rsidRDefault="000850DB" w:rsidP="000850DB">
      <w:pPr>
        <w:pStyle w:val="NoSpacing"/>
        <w:jc w:val="both"/>
        <w:rPr>
          <w:rFonts w:cstheme="minorHAnsi"/>
          <w:color w:val="000000" w:themeColor="text1"/>
        </w:rPr>
      </w:pPr>
      <w:r w:rsidRPr="00CB562F">
        <w:rPr>
          <w:rFonts w:eastAsia="Calibri" w:cstheme="minorHAnsi"/>
          <w:color w:val="000000" w:themeColor="text1"/>
        </w:rPr>
        <w:t xml:space="preserve">Statistical analysis: Data are presented as mean ± standard deviation (SD). Statistical analysis was performed by using Student Unpaired‘t’ test for comparison between various measures of HRV and hemodynamic variables in subjects </w:t>
      </w:r>
      <w:r w:rsidRPr="00CB562F">
        <w:rPr>
          <w:rFonts w:cstheme="minorHAnsi"/>
          <w:color w:val="000000" w:themeColor="text1"/>
        </w:rPr>
        <w:t xml:space="preserve">with and without parental history of essential hypertension. The data were analyzed with the use of SPSS version 10 software packages. All p values were two tailed. Differences were considered statistically significant for p values &lt; 0.05. </w:t>
      </w:r>
    </w:p>
    <w:p w:rsidR="000850DB" w:rsidRPr="00CB562F" w:rsidRDefault="000850DB" w:rsidP="000850DB">
      <w:pPr>
        <w:pStyle w:val="NoSpacing"/>
        <w:jc w:val="both"/>
        <w:rPr>
          <w:rFonts w:cstheme="minorHAnsi"/>
          <w:color w:val="000000" w:themeColor="text1"/>
        </w:rPr>
      </w:pPr>
    </w:p>
    <w:p w:rsidR="000850DB" w:rsidRPr="00CB562F" w:rsidRDefault="000850DB" w:rsidP="000850DB">
      <w:pPr>
        <w:pStyle w:val="NoSpacing"/>
        <w:jc w:val="both"/>
        <w:rPr>
          <w:rFonts w:eastAsia="Calibri" w:cstheme="minorHAnsi"/>
          <w:color w:val="000000" w:themeColor="text1"/>
        </w:rPr>
      </w:pPr>
      <w:r w:rsidRPr="00CB562F">
        <w:rPr>
          <w:rFonts w:cstheme="minorHAnsi"/>
          <w:b/>
          <w:bCs/>
          <w:color w:val="000000" w:themeColor="text1"/>
        </w:rPr>
        <w:t xml:space="preserve">Results: </w:t>
      </w:r>
      <w:r w:rsidRPr="00CB562F">
        <w:rPr>
          <w:rFonts w:eastAsia="Calibri" w:cstheme="minorHAnsi"/>
          <w:color w:val="000000" w:themeColor="text1"/>
        </w:rPr>
        <w:t xml:space="preserve">Table 1 depicts the demographic characteristics and hemodynamic variables of studied subjects and no significant difference was observed between systolic blood pressure (SBP), diastolic blood pressure (DBP), CO, SV, HR, SVR, BFI, PAT, and PTT in both groups. </w:t>
      </w:r>
    </w:p>
    <w:p w:rsidR="000850DB" w:rsidRPr="00CB562F" w:rsidRDefault="000850DB" w:rsidP="000850DB">
      <w:pPr>
        <w:pStyle w:val="NoSpacing"/>
        <w:jc w:val="both"/>
        <w:rPr>
          <w:rFonts w:eastAsia="Calibri" w:cstheme="minorHAnsi"/>
          <w:color w:val="000000" w:themeColor="text1"/>
        </w:rPr>
      </w:pPr>
    </w:p>
    <w:p w:rsidR="000850DB" w:rsidRPr="00CB562F" w:rsidRDefault="000850DB" w:rsidP="000850DB">
      <w:pPr>
        <w:pStyle w:val="NoSpacing"/>
        <w:jc w:val="both"/>
        <w:rPr>
          <w:rFonts w:eastAsia="Calibri" w:cstheme="minorHAnsi"/>
          <w:b/>
          <w:bCs/>
          <w:color w:val="000000" w:themeColor="text1"/>
        </w:rPr>
      </w:pPr>
      <w:r w:rsidRPr="00CB562F">
        <w:rPr>
          <w:rFonts w:eastAsia="Calibri" w:cstheme="minorHAnsi"/>
          <w:b/>
          <w:bCs/>
          <w:color w:val="000000" w:themeColor="text1"/>
        </w:rPr>
        <w:t>Table 1:  Demographic characteristics and hemodynamic variables of studied subjects</w:t>
      </w:r>
    </w:p>
    <w:tbl>
      <w:tblPr>
        <w:tblStyle w:val="TableGrid"/>
        <w:tblW w:w="4878" w:type="dxa"/>
        <w:tblLayout w:type="fixed"/>
        <w:tblLook w:val="04A0"/>
      </w:tblPr>
      <w:tblGrid>
        <w:gridCol w:w="1638"/>
        <w:gridCol w:w="1530"/>
        <w:gridCol w:w="1710"/>
      </w:tblGrid>
      <w:tr w:rsidR="000850DB" w:rsidRPr="00CB562F" w:rsidTr="004F39E6">
        <w:trPr>
          <w:trHeight w:val="608"/>
        </w:trPr>
        <w:tc>
          <w:tcPr>
            <w:tcW w:w="1638"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 xml:space="preserve">Basal parameters  </w:t>
            </w:r>
          </w:p>
        </w:tc>
        <w:tc>
          <w:tcPr>
            <w:tcW w:w="1530"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Normotensive subjects with FH</w:t>
            </w:r>
            <w:r w:rsidRPr="00CB562F">
              <w:rPr>
                <w:rFonts w:eastAsia="Calibri" w:cstheme="minorHAnsi"/>
                <w:color w:val="000000" w:themeColor="text1"/>
                <w:vertAlign w:val="superscript"/>
              </w:rPr>
              <w:t>+</w:t>
            </w:r>
            <w:r w:rsidRPr="00CB562F">
              <w:rPr>
                <w:rFonts w:eastAsia="Calibri" w:cstheme="minorHAnsi"/>
                <w:color w:val="000000" w:themeColor="text1"/>
              </w:rPr>
              <w:t xml:space="preserve"> (n=30)</w:t>
            </w:r>
          </w:p>
        </w:tc>
        <w:tc>
          <w:tcPr>
            <w:tcW w:w="1710"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Normotensive subjects with FH</w:t>
            </w:r>
            <w:r w:rsidRPr="00CB562F">
              <w:rPr>
                <w:rFonts w:eastAsia="Calibri" w:cstheme="minorHAnsi"/>
                <w:color w:val="000000" w:themeColor="text1"/>
                <w:vertAlign w:val="superscript"/>
              </w:rPr>
              <w:t>-</w:t>
            </w:r>
            <w:r w:rsidRPr="00CB562F">
              <w:rPr>
                <w:rFonts w:eastAsia="Calibri" w:cstheme="minorHAnsi"/>
                <w:color w:val="000000" w:themeColor="text1"/>
              </w:rPr>
              <w:t xml:space="preserve"> (n=30)</w:t>
            </w:r>
          </w:p>
        </w:tc>
      </w:tr>
      <w:tr w:rsidR="000850DB" w:rsidRPr="00CB562F" w:rsidTr="004F39E6">
        <w:trPr>
          <w:trHeight w:val="358"/>
        </w:trPr>
        <w:tc>
          <w:tcPr>
            <w:tcW w:w="1638"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Age (yr)</w:t>
            </w:r>
          </w:p>
        </w:tc>
        <w:tc>
          <w:tcPr>
            <w:tcW w:w="1530"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20.03 ± 1.52</w:t>
            </w:r>
          </w:p>
        </w:tc>
        <w:tc>
          <w:tcPr>
            <w:tcW w:w="1710"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19.93 ± 1.66</w:t>
            </w:r>
          </w:p>
        </w:tc>
      </w:tr>
      <w:tr w:rsidR="000850DB" w:rsidRPr="00CB562F" w:rsidTr="004F39E6">
        <w:trPr>
          <w:trHeight w:val="360"/>
        </w:trPr>
        <w:tc>
          <w:tcPr>
            <w:tcW w:w="1638"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Height (cm)</w:t>
            </w:r>
          </w:p>
        </w:tc>
        <w:tc>
          <w:tcPr>
            <w:tcW w:w="1530"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161.57 ± 7.04</w:t>
            </w:r>
          </w:p>
        </w:tc>
        <w:tc>
          <w:tcPr>
            <w:tcW w:w="1710"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164.23 ± 10.21</w:t>
            </w:r>
          </w:p>
        </w:tc>
      </w:tr>
      <w:tr w:rsidR="000850DB" w:rsidRPr="00CB562F" w:rsidTr="004F39E6">
        <w:trPr>
          <w:trHeight w:val="360"/>
        </w:trPr>
        <w:tc>
          <w:tcPr>
            <w:tcW w:w="1638"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Weight (kg)</w:t>
            </w:r>
          </w:p>
        </w:tc>
        <w:tc>
          <w:tcPr>
            <w:tcW w:w="1530"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56.9 ± 8.11</w:t>
            </w:r>
          </w:p>
        </w:tc>
        <w:tc>
          <w:tcPr>
            <w:tcW w:w="1710"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55.97 ± 8.93</w:t>
            </w:r>
          </w:p>
        </w:tc>
      </w:tr>
      <w:tr w:rsidR="000850DB" w:rsidRPr="00CB562F" w:rsidTr="004F39E6">
        <w:trPr>
          <w:trHeight w:val="360"/>
        </w:trPr>
        <w:tc>
          <w:tcPr>
            <w:tcW w:w="1638"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BMI (kg/m</w:t>
            </w:r>
            <w:r w:rsidRPr="00CB562F">
              <w:rPr>
                <w:rFonts w:eastAsia="Calibri" w:cstheme="minorHAnsi"/>
                <w:color w:val="000000" w:themeColor="text1"/>
                <w:vertAlign w:val="superscript"/>
              </w:rPr>
              <w:t>2</w:t>
            </w:r>
            <w:r w:rsidRPr="00CB562F">
              <w:rPr>
                <w:rFonts w:eastAsia="Calibri" w:cstheme="minorHAnsi"/>
                <w:color w:val="000000" w:themeColor="text1"/>
              </w:rPr>
              <w:t>)</w:t>
            </w:r>
          </w:p>
        </w:tc>
        <w:tc>
          <w:tcPr>
            <w:tcW w:w="1530"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21.73 ± 2.20</w:t>
            </w:r>
          </w:p>
        </w:tc>
        <w:tc>
          <w:tcPr>
            <w:tcW w:w="1710"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20.67 ± 2.07</w:t>
            </w:r>
          </w:p>
        </w:tc>
      </w:tr>
      <w:tr w:rsidR="000850DB" w:rsidRPr="00CB562F" w:rsidTr="004F39E6">
        <w:trPr>
          <w:trHeight w:val="360"/>
        </w:trPr>
        <w:tc>
          <w:tcPr>
            <w:tcW w:w="1638"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SBP (mmHg)</w:t>
            </w:r>
          </w:p>
        </w:tc>
        <w:tc>
          <w:tcPr>
            <w:tcW w:w="1530"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117.57 ± 10.73</w:t>
            </w:r>
          </w:p>
        </w:tc>
        <w:tc>
          <w:tcPr>
            <w:tcW w:w="1710"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114.57 ± 7.18</w:t>
            </w:r>
          </w:p>
        </w:tc>
      </w:tr>
      <w:tr w:rsidR="000850DB" w:rsidRPr="00CB562F" w:rsidTr="004F39E6">
        <w:trPr>
          <w:trHeight w:val="360"/>
        </w:trPr>
        <w:tc>
          <w:tcPr>
            <w:tcW w:w="1638"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DBP (mmHg)</w:t>
            </w:r>
          </w:p>
        </w:tc>
        <w:tc>
          <w:tcPr>
            <w:tcW w:w="1530"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73.67 ± 7.68</w:t>
            </w:r>
          </w:p>
        </w:tc>
        <w:tc>
          <w:tcPr>
            <w:tcW w:w="1710"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75.20 ± 6.76</w:t>
            </w:r>
          </w:p>
        </w:tc>
      </w:tr>
      <w:tr w:rsidR="000850DB" w:rsidRPr="00CB562F" w:rsidTr="004F39E6">
        <w:trPr>
          <w:trHeight w:val="360"/>
        </w:trPr>
        <w:tc>
          <w:tcPr>
            <w:tcW w:w="1638"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CO (lt/m)</w:t>
            </w:r>
          </w:p>
        </w:tc>
        <w:tc>
          <w:tcPr>
            <w:tcW w:w="1530" w:type="dxa"/>
          </w:tcPr>
          <w:p w:rsidR="000850DB" w:rsidRPr="00CB562F" w:rsidRDefault="000850DB" w:rsidP="004F39E6">
            <w:pPr>
              <w:pStyle w:val="NoSpacing"/>
              <w:jc w:val="both"/>
              <w:rPr>
                <w:rFonts w:cstheme="minorHAnsi"/>
                <w:color w:val="000000" w:themeColor="text1"/>
              </w:rPr>
            </w:pPr>
            <w:r w:rsidRPr="00CB562F">
              <w:rPr>
                <w:rFonts w:cstheme="minorHAnsi"/>
                <w:color w:val="000000" w:themeColor="text1"/>
              </w:rPr>
              <w:t>4.43  ± 0.82</w:t>
            </w:r>
          </w:p>
        </w:tc>
        <w:tc>
          <w:tcPr>
            <w:tcW w:w="1710" w:type="dxa"/>
          </w:tcPr>
          <w:p w:rsidR="000850DB" w:rsidRPr="00CB562F" w:rsidRDefault="000850DB" w:rsidP="004F39E6">
            <w:pPr>
              <w:pStyle w:val="NoSpacing"/>
              <w:jc w:val="both"/>
              <w:rPr>
                <w:rFonts w:cstheme="minorHAnsi"/>
                <w:color w:val="000000" w:themeColor="text1"/>
              </w:rPr>
            </w:pPr>
            <w:r w:rsidRPr="00CB562F">
              <w:rPr>
                <w:rFonts w:cstheme="minorHAnsi"/>
                <w:color w:val="000000" w:themeColor="text1"/>
              </w:rPr>
              <w:t>4.38 ± 0.96</w:t>
            </w:r>
          </w:p>
        </w:tc>
      </w:tr>
      <w:tr w:rsidR="000850DB" w:rsidRPr="00CB562F" w:rsidTr="004F39E6">
        <w:trPr>
          <w:trHeight w:val="360"/>
        </w:trPr>
        <w:tc>
          <w:tcPr>
            <w:tcW w:w="1638"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SV (ml/beat)</w:t>
            </w:r>
          </w:p>
        </w:tc>
        <w:tc>
          <w:tcPr>
            <w:tcW w:w="1530" w:type="dxa"/>
          </w:tcPr>
          <w:p w:rsidR="000850DB" w:rsidRPr="00CB562F" w:rsidRDefault="000850DB" w:rsidP="004F39E6">
            <w:pPr>
              <w:pStyle w:val="NoSpacing"/>
              <w:jc w:val="both"/>
              <w:rPr>
                <w:rFonts w:cstheme="minorHAnsi"/>
                <w:color w:val="000000" w:themeColor="text1"/>
              </w:rPr>
            </w:pPr>
            <w:r w:rsidRPr="00CB562F">
              <w:rPr>
                <w:rFonts w:cstheme="minorHAnsi"/>
                <w:color w:val="000000" w:themeColor="text1"/>
              </w:rPr>
              <w:t>55.44  ± 11.60</w:t>
            </w:r>
          </w:p>
        </w:tc>
        <w:tc>
          <w:tcPr>
            <w:tcW w:w="1710" w:type="dxa"/>
          </w:tcPr>
          <w:p w:rsidR="000850DB" w:rsidRPr="00CB562F" w:rsidRDefault="000850DB" w:rsidP="004F39E6">
            <w:pPr>
              <w:pStyle w:val="NoSpacing"/>
              <w:jc w:val="both"/>
              <w:rPr>
                <w:rFonts w:cstheme="minorHAnsi"/>
                <w:color w:val="000000" w:themeColor="text1"/>
              </w:rPr>
            </w:pPr>
            <w:r w:rsidRPr="00CB562F">
              <w:rPr>
                <w:rFonts w:cstheme="minorHAnsi"/>
                <w:color w:val="000000" w:themeColor="text1"/>
              </w:rPr>
              <w:t>56.02 ± 14.59</w:t>
            </w:r>
          </w:p>
        </w:tc>
      </w:tr>
      <w:tr w:rsidR="000850DB" w:rsidRPr="00CB562F" w:rsidTr="004F39E6">
        <w:trPr>
          <w:trHeight w:val="360"/>
        </w:trPr>
        <w:tc>
          <w:tcPr>
            <w:tcW w:w="1638"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HR (bpm)</w:t>
            </w:r>
          </w:p>
        </w:tc>
        <w:tc>
          <w:tcPr>
            <w:tcW w:w="1530" w:type="dxa"/>
          </w:tcPr>
          <w:p w:rsidR="000850DB" w:rsidRPr="00CB562F" w:rsidRDefault="000850DB" w:rsidP="004F39E6">
            <w:pPr>
              <w:pStyle w:val="NoSpacing"/>
              <w:jc w:val="both"/>
              <w:rPr>
                <w:rFonts w:cstheme="minorHAnsi"/>
                <w:color w:val="000000" w:themeColor="text1"/>
              </w:rPr>
            </w:pPr>
            <w:r w:rsidRPr="00CB562F">
              <w:rPr>
                <w:rFonts w:cstheme="minorHAnsi"/>
                <w:color w:val="000000" w:themeColor="text1"/>
              </w:rPr>
              <w:t>81.07 ± 10.27</w:t>
            </w:r>
          </w:p>
        </w:tc>
        <w:tc>
          <w:tcPr>
            <w:tcW w:w="1710" w:type="dxa"/>
          </w:tcPr>
          <w:p w:rsidR="000850DB" w:rsidRPr="00CB562F" w:rsidRDefault="000850DB" w:rsidP="004F39E6">
            <w:pPr>
              <w:pStyle w:val="NoSpacing"/>
              <w:jc w:val="both"/>
              <w:rPr>
                <w:rFonts w:cstheme="minorHAnsi"/>
                <w:color w:val="000000" w:themeColor="text1"/>
              </w:rPr>
            </w:pPr>
            <w:r w:rsidRPr="00CB562F">
              <w:rPr>
                <w:rFonts w:cstheme="minorHAnsi"/>
                <w:color w:val="000000" w:themeColor="text1"/>
              </w:rPr>
              <w:t>79.47 ± 9.99</w:t>
            </w:r>
          </w:p>
        </w:tc>
      </w:tr>
      <w:tr w:rsidR="000850DB" w:rsidRPr="00CB562F" w:rsidTr="004F39E6">
        <w:trPr>
          <w:trHeight w:val="360"/>
        </w:trPr>
        <w:tc>
          <w:tcPr>
            <w:tcW w:w="1638"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SVR</w:t>
            </w:r>
          </w:p>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w:t>
            </w:r>
            <w:r w:rsidRPr="00CB562F">
              <w:rPr>
                <w:rFonts w:cstheme="minorHAnsi"/>
                <w:color w:val="000000" w:themeColor="text1"/>
              </w:rPr>
              <w:t>dyne.sec/cm</w:t>
            </w:r>
            <w:r w:rsidRPr="00CB562F">
              <w:rPr>
                <w:rFonts w:cstheme="minorHAnsi"/>
                <w:color w:val="000000" w:themeColor="text1"/>
                <w:vertAlign w:val="superscript"/>
              </w:rPr>
              <w:t>5</w:t>
            </w:r>
            <w:r w:rsidRPr="00CB562F">
              <w:rPr>
                <w:rFonts w:cstheme="minorHAnsi"/>
                <w:color w:val="000000" w:themeColor="text1"/>
              </w:rPr>
              <w:t>)</w:t>
            </w:r>
          </w:p>
        </w:tc>
        <w:tc>
          <w:tcPr>
            <w:tcW w:w="1530" w:type="dxa"/>
          </w:tcPr>
          <w:p w:rsidR="000850DB" w:rsidRPr="00CB562F" w:rsidRDefault="000850DB" w:rsidP="004F39E6">
            <w:pPr>
              <w:pStyle w:val="NoSpacing"/>
              <w:jc w:val="both"/>
              <w:rPr>
                <w:rFonts w:cstheme="minorHAnsi"/>
                <w:color w:val="000000" w:themeColor="text1"/>
              </w:rPr>
            </w:pPr>
            <w:r w:rsidRPr="00CB562F">
              <w:rPr>
                <w:rFonts w:cstheme="minorHAnsi"/>
                <w:color w:val="000000" w:themeColor="text1"/>
              </w:rPr>
              <w:t xml:space="preserve">1648.47± </w:t>
            </w:r>
          </w:p>
          <w:p w:rsidR="000850DB" w:rsidRPr="00CB562F" w:rsidRDefault="000850DB" w:rsidP="004F39E6">
            <w:pPr>
              <w:pStyle w:val="NoSpacing"/>
              <w:jc w:val="both"/>
              <w:rPr>
                <w:rFonts w:cstheme="minorHAnsi"/>
                <w:color w:val="000000" w:themeColor="text1"/>
              </w:rPr>
            </w:pPr>
            <w:r w:rsidRPr="00CB562F">
              <w:rPr>
                <w:rFonts w:cstheme="minorHAnsi"/>
                <w:color w:val="000000" w:themeColor="text1"/>
              </w:rPr>
              <w:t>313.85</w:t>
            </w:r>
          </w:p>
        </w:tc>
        <w:tc>
          <w:tcPr>
            <w:tcW w:w="1710" w:type="dxa"/>
          </w:tcPr>
          <w:p w:rsidR="000850DB" w:rsidRPr="00CB562F" w:rsidRDefault="000850DB" w:rsidP="004F39E6">
            <w:pPr>
              <w:pStyle w:val="NoSpacing"/>
              <w:jc w:val="both"/>
              <w:rPr>
                <w:rFonts w:cstheme="minorHAnsi"/>
                <w:color w:val="000000" w:themeColor="text1"/>
              </w:rPr>
            </w:pPr>
            <w:r w:rsidRPr="00CB562F">
              <w:rPr>
                <w:rFonts w:cstheme="minorHAnsi"/>
                <w:color w:val="000000" w:themeColor="text1"/>
              </w:rPr>
              <w:t>1687.60±374.63</w:t>
            </w:r>
          </w:p>
        </w:tc>
      </w:tr>
      <w:tr w:rsidR="000850DB" w:rsidRPr="00CB562F" w:rsidTr="004F39E6">
        <w:trPr>
          <w:trHeight w:val="360"/>
        </w:trPr>
        <w:tc>
          <w:tcPr>
            <w:tcW w:w="1638"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BFI (%)</w:t>
            </w:r>
          </w:p>
        </w:tc>
        <w:tc>
          <w:tcPr>
            <w:tcW w:w="1530" w:type="dxa"/>
          </w:tcPr>
          <w:p w:rsidR="000850DB" w:rsidRPr="00CB562F" w:rsidRDefault="000850DB" w:rsidP="004F39E6">
            <w:pPr>
              <w:pStyle w:val="NoSpacing"/>
              <w:jc w:val="both"/>
              <w:rPr>
                <w:rFonts w:cstheme="minorHAnsi"/>
                <w:color w:val="000000" w:themeColor="text1"/>
              </w:rPr>
            </w:pPr>
            <w:r w:rsidRPr="00CB562F">
              <w:rPr>
                <w:rFonts w:cstheme="minorHAnsi"/>
                <w:color w:val="000000" w:themeColor="text1"/>
              </w:rPr>
              <w:t>0.99 ± 0.17</w:t>
            </w:r>
          </w:p>
        </w:tc>
        <w:tc>
          <w:tcPr>
            <w:tcW w:w="1710" w:type="dxa"/>
          </w:tcPr>
          <w:p w:rsidR="000850DB" w:rsidRPr="00CB562F" w:rsidRDefault="000850DB" w:rsidP="004F39E6">
            <w:pPr>
              <w:pStyle w:val="NoSpacing"/>
              <w:jc w:val="both"/>
              <w:rPr>
                <w:rFonts w:cstheme="minorHAnsi"/>
                <w:color w:val="000000" w:themeColor="text1"/>
              </w:rPr>
            </w:pPr>
            <w:r w:rsidRPr="00CB562F">
              <w:rPr>
                <w:rFonts w:cstheme="minorHAnsi"/>
                <w:color w:val="000000" w:themeColor="text1"/>
              </w:rPr>
              <w:t>0.93 ± 0.20</w:t>
            </w:r>
          </w:p>
        </w:tc>
      </w:tr>
      <w:tr w:rsidR="000850DB" w:rsidRPr="00CB562F" w:rsidTr="004F39E6">
        <w:trPr>
          <w:trHeight w:val="360"/>
        </w:trPr>
        <w:tc>
          <w:tcPr>
            <w:tcW w:w="1638"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PAT (ms)</w:t>
            </w:r>
          </w:p>
        </w:tc>
        <w:tc>
          <w:tcPr>
            <w:tcW w:w="1530" w:type="dxa"/>
          </w:tcPr>
          <w:p w:rsidR="000850DB" w:rsidRPr="00CB562F" w:rsidRDefault="000850DB" w:rsidP="004F39E6">
            <w:pPr>
              <w:pStyle w:val="NoSpacing"/>
              <w:jc w:val="both"/>
              <w:rPr>
                <w:rFonts w:cstheme="minorHAnsi"/>
                <w:color w:val="000000" w:themeColor="text1"/>
              </w:rPr>
            </w:pPr>
            <w:r w:rsidRPr="00CB562F">
              <w:rPr>
                <w:rFonts w:cstheme="minorHAnsi"/>
                <w:color w:val="000000" w:themeColor="text1"/>
              </w:rPr>
              <w:t>187.33  ± 25.45</w:t>
            </w:r>
          </w:p>
        </w:tc>
        <w:tc>
          <w:tcPr>
            <w:tcW w:w="1710" w:type="dxa"/>
          </w:tcPr>
          <w:p w:rsidR="000850DB" w:rsidRPr="00CB562F" w:rsidRDefault="000850DB" w:rsidP="004F39E6">
            <w:pPr>
              <w:pStyle w:val="NoSpacing"/>
              <w:jc w:val="both"/>
              <w:rPr>
                <w:rFonts w:cstheme="minorHAnsi"/>
                <w:color w:val="000000" w:themeColor="text1"/>
              </w:rPr>
            </w:pPr>
            <w:r w:rsidRPr="00CB562F">
              <w:rPr>
                <w:rFonts w:cstheme="minorHAnsi"/>
                <w:color w:val="000000" w:themeColor="text1"/>
              </w:rPr>
              <w:t>188.33 ± 24.51</w:t>
            </w:r>
          </w:p>
        </w:tc>
      </w:tr>
      <w:tr w:rsidR="000850DB" w:rsidRPr="00CB562F" w:rsidTr="004F39E6">
        <w:trPr>
          <w:trHeight w:val="342"/>
        </w:trPr>
        <w:tc>
          <w:tcPr>
            <w:tcW w:w="1638" w:type="dxa"/>
          </w:tcPr>
          <w:p w:rsidR="000850DB" w:rsidRPr="00CB562F" w:rsidRDefault="000850DB" w:rsidP="004F39E6">
            <w:pPr>
              <w:pStyle w:val="NoSpacing"/>
              <w:jc w:val="both"/>
              <w:rPr>
                <w:rFonts w:eastAsia="Calibri" w:cstheme="minorHAnsi"/>
                <w:color w:val="000000" w:themeColor="text1"/>
              </w:rPr>
            </w:pPr>
            <w:r w:rsidRPr="00CB562F">
              <w:rPr>
                <w:rFonts w:eastAsia="Calibri" w:cstheme="minorHAnsi"/>
                <w:color w:val="000000" w:themeColor="text1"/>
              </w:rPr>
              <w:t>PTT (ms)</w:t>
            </w:r>
          </w:p>
        </w:tc>
        <w:tc>
          <w:tcPr>
            <w:tcW w:w="1530" w:type="dxa"/>
          </w:tcPr>
          <w:p w:rsidR="000850DB" w:rsidRPr="00CB562F" w:rsidRDefault="000850DB" w:rsidP="004F39E6">
            <w:pPr>
              <w:pStyle w:val="NoSpacing"/>
              <w:jc w:val="both"/>
              <w:rPr>
                <w:rFonts w:eastAsia="Calibri" w:cstheme="minorHAnsi"/>
                <w:color w:val="000000" w:themeColor="text1"/>
              </w:rPr>
            </w:pPr>
            <w:r w:rsidRPr="00CB562F">
              <w:rPr>
                <w:rFonts w:cstheme="minorHAnsi"/>
                <w:color w:val="000000" w:themeColor="text1"/>
              </w:rPr>
              <w:t>356.33 ± 52.19</w:t>
            </w:r>
          </w:p>
        </w:tc>
        <w:tc>
          <w:tcPr>
            <w:tcW w:w="1710" w:type="dxa"/>
          </w:tcPr>
          <w:p w:rsidR="000850DB" w:rsidRPr="00CB562F" w:rsidRDefault="000850DB" w:rsidP="004F39E6">
            <w:pPr>
              <w:pStyle w:val="NoSpacing"/>
              <w:jc w:val="both"/>
              <w:rPr>
                <w:rFonts w:eastAsia="Calibri" w:cstheme="minorHAnsi"/>
                <w:color w:val="000000" w:themeColor="text1"/>
              </w:rPr>
            </w:pPr>
            <w:r w:rsidRPr="00CB562F">
              <w:rPr>
                <w:rFonts w:cstheme="minorHAnsi"/>
                <w:color w:val="000000" w:themeColor="text1"/>
              </w:rPr>
              <w:t>329.33 ± 57.50</w:t>
            </w:r>
          </w:p>
        </w:tc>
      </w:tr>
    </w:tbl>
    <w:p w:rsidR="000850DB" w:rsidRPr="00CB562F" w:rsidRDefault="000850DB" w:rsidP="000850DB">
      <w:pPr>
        <w:pStyle w:val="NoSpacing"/>
        <w:jc w:val="both"/>
        <w:rPr>
          <w:rFonts w:eastAsia="Calibri" w:cstheme="minorHAnsi"/>
          <w:color w:val="000000" w:themeColor="text1"/>
        </w:rPr>
      </w:pPr>
    </w:p>
    <w:p w:rsidR="000850DB" w:rsidRPr="00CB562F" w:rsidRDefault="000850DB" w:rsidP="000850DB">
      <w:pPr>
        <w:pStyle w:val="NoSpacing"/>
        <w:jc w:val="both"/>
        <w:rPr>
          <w:rFonts w:eastAsia="Calibri" w:cstheme="minorHAnsi"/>
          <w:color w:val="000000" w:themeColor="text1"/>
        </w:rPr>
      </w:pPr>
      <w:r w:rsidRPr="00CB562F">
        <w:rPr>
          <w:rFonts w:eastAsia="Calibri" w:cstheme="minorHAnsi"/>
          <w:color w:val="000000" w:themeColor="text1"/>
        </w:rPr>
        <w:t xml:space="preserve">Values are mean ± SD, BMI: Body mass index, SBP: Systolic blood pressure, DBP: Diastolic blood pressure, CO: Cardiac output, SV: Stoke volume, HR: Heart rate, SVR: Systemic vascular resistance, BFI: Blood flow index, PAT: Pulse arrival time, PTT: Pulse termination time    </w:t>
      </w:r>
    </w:p>
    <w:p w:rsidR="000850DB" w:rsidRPr="00CB562F" w:rsidRDefault="000850DB" w:rsidP="000850DB">
      <w:pPr>
        <w:pStyle w:val="NoSpacing"/>
        <w:jc w:val="both"/>
        <w:rPr>
          <w:rFonts w:eastAsia="Calibri" w:cstheme="minorHAnsi"/>
          <w:color w:val="000000" w:themeColor="text1"/>
        </w:rPr>
      </w:pPr>
    </w:p>
    <w:p w:rsidR="000850DB" w:rsidRPr="00CB562F" w:rsidRDefault="000850DB" w:rsidP="000850DB">
      <w:pPr>
        <w:pStyle w:val="NoSpacing"/>
        <w:jc w:val="both"/>
        <w:rPr>
          <w:rFonts w:eastAsia="Calibri" w:cstheme="minorHAnsi"/>
          <w:color w:val="000000" w:themeColor="text1"/>
        </w:rPr>
      </w:pPr>
      <w:r w:rsidRPr="00CB562F">
        <w:rPr>
          <w:rFonts w:eastAsia="Calibri" w:cstheme="minorHAnsi"/>
          <w:color w:val="000000" w:themeColor="text1"/>
        </w:rPr>
        <w:lastRenderedPageBreak/>
        <w:t>Comparison of Heart rate variability components between the study groups were demonstrated in Table 2.  Total power, amplitude of LF power, amplitude of HF power, LF power in absolute units (LF ms</w:t>
      </w:r>
      <w:r w:rsidRPr="00CB562F">
        <w:rPr>
          <w:rFonts w:eastAsia="Calibri" w:cstheme="minorHAnsi"/>
          <w:color w:val="000000" w:themeColor="text1"/>
          <w:vertAlign w:val="superscript"/>
        </w:rPr>
        <w:t>2</w:t>
      </w:r>
      <w:r w:rsidRPr="00CB562F">
        <w:rPr>
          <w:rFonts w:eastAsia="Calibri" w:cstheme="minorHAnsi"/>
          <w:color w:val="000000" w:themeColor="text1"/>
        </w:rPr>
        <w:t>) and HF power in absolute units (HF ms</w:t>
      </w:r>
      <w:r w:rsidRPr="00CB562F">
        <w:rPr>
          <w:rFonts w:eastAsia="Calibri" w:cstheme="minorHAnsi"/>
          <w:color w:val="000000" w:themeColor="text1"/>
          <w:vertAlign w:val="superscript"/>
        </w:rPr>
        <w:t>2</w:t>
      </w:r>
      <w:r w:rsidRPr="00CB562F">
        <w:rPr>
          <w:rFonts w:eastAsia="Calibri" w:cstheme="minorHAnsi"/>
          <w:color w:val="000000" w:themeColor="text1"/>
        </w:rPr>
        <w:t>) in subjects with FH</w:t>
      </w:r>
      <w:r w:rsidRPr="00CB562F">
        <w:rPr>
          <w:rFonts w:eastAsia="Calibri" w:cstheme="minorHAnsi"/>
          <w:color w:val="000000" w:themeColor="text1"/>
          <w:vertAlign w:val="superscript"/>
        </w:rPr>
        <w:t>+</w:t>
      </w:r>
      <w:r w:rsidRPr="00CB562F">
        <w:rPr>
          <w:rFonts w:eastAsia="Calibri" w:cstheme="minorHAnsi"/>
          <w:color w:val="000000" w:themeColor="text1"/>
        </w:rPr>
        <w:t xml:space="preserve"> and FH</w:t>
      </w:r>
      <w:r w:rsidRPr="00CB562F">
        <w:rPr>
          <w:rFonts w:eastAsia="Calibri" w:cstheme="minorHAnsi"/>
          <w:color w:val="000000" w:themeColor="text1"/>
          <w:vertAlign w:val="superscript"/>
        </w:rPr>
        <w:t>-</w:t>
      </w:r>
      <w:r w:rsidRPr="00CB562F">
        <w:rPr>
          <w:rFonts w:eastAsia="Calibri" w:cstheme="minorHAnsi"/>
          <w:color w:val="000000" w:themeColor="text1"/>
        </w:rPr>
        <w:t xml:space="preserve"> showed no significant differences. In contrast, the LF nu (49.81 ± 21.98) was significantly higher (P&lt;0.05) </w:t>
      </w:r>
      <w:r w:rsidRPr="00CB562F">
        <w:rPr>
          <w:rFonts w:eastAsia="Calibri" w:cstheme="minorHAnsi"/>
          <w:color w:val="000000" w:themeColor="text1"/>
        </w:rPr>
        <w:lastRenderedPageBreak/>
        <w:t>and the HF nu (50.19 ± 21.98) was significantly lower (P&lt;0.05) in subjects with FH</w:t>
      </w:r>
      <w:r w:rsidRPr="00CB562F">
        <w:rPr>
          <w:rFonts w:eastAsia="Calibri" w:cstheme="minorHAnsi"/>
          <w:color w:val="000000" w:themeColor="text1"/>
          <w:vertAlign w:val="superscript"/>
        </w:rPr>
        <w:t>+</w:t>
      </w:r>
      <w:r w:rsidRPr="00CB562F">
        <w:rPr>
          <w:rFonts w:eastAsia="Calibri" w:cstheme="minorHAnsi"/>
          <w:color w:val="000000" w:themeColor="text1"/>
        </w:rPr>
        <w:t xml:space="preserve"> as opposed to the subjects with FH</w:t>
      </w:r>
      <w:r w:rsidRPr="00CB562F">
        <w:rPr>
          <w:rFonts w:eastAsia="Calibri" w:cstheme="minorHAnsi"/>
          <w:color w:val="000000" w:themeColor="text1"/>
          <w:vertAlign w:val="superscript"/>
        </w:rPr>
        <w:t xml:space="preserve">- </w:t>
      </w:r>
      <w:r w:rsidRPr="00CB562F">
        <w:rPr>
          <w:rFonts w:eastAsia="Calibri" w:cstheme="minorHAnsi"/>
          <w:color w:val="000000" w:themeColor="text1"/>
        </w:rPr>
        <w:t>(LFnu=38.39 ± 16.49; HFnu=61.61 ± 16.49). The LF/HF ratio was significantly higher (P&lt;0.01) in subjects with FH</w:t>
      </w:r>
      <w:r w:rsidRPr="00CB562F">
        <w:rPr>
          <w:rFonts w:eastAsia="Calibri" w:cstheme="minorHAnsi"/>
          <w:color w:val="000000" w:themeColor="text1"/>
          <w:vertAlign w:val="superscript"/>
        </w:rPr>
        <w:t>+</w:t>
      </w:r>
      <w:r w:rsidRPr="00CB562F">
        <w:rPr>
          <w:rFonts w:eastAsia="Calibri" w:cstheme="minorHAnsi"/>
          <w:color w:val="000000" w:themeColor="text1"/>
        </w:rPr>
        <w:t xml:space="preserve"> (1.55 ± 1.46) as compared to the subjects with FH</w:t>
      </w:r>
      <w:r w:rsidRPr="00CB562F">
        <w:rPr>
          <w:rFonts w:eastAsia="Calibri" w:cstheme="minorHAnsi"/>
          <w:color w:val="000000" w:themeColor="text1"/>
          <w:vertAlign w:val="superscript"/>
        </w:rPr>
        <w:t>-</w:t>
      </w:r>
      <w:r w:rsidRPr="00CB562F">
        <w:rPr>
          <w:rFonts w:eastAsia="Calibri" w:cstheme="minorHAnsi"/>
          <w:color w:val="000000" w:themeColor="text1"/>
        </w:rPr>
        <w:t xml:space="preserve"> (0.75 ± 0.52). </w:t>
      </w:r>
    </w:p>
    <w:p w:rsidR="000850DB" w:rsidRPr="00CB562F" w:rsidRDefault="000850DB" w:rsidP="000850DB">
      <w:pPr>
        <w:pStyle w:val="NoSpacing"/>
        <w:jc w:val="both"/>
        <w:rPr>
          <w:rFonts w:eastAsia="Calibri" w:cstheme="minorHAnsi"/>
          <w:color w:val="000000" w:themeColor="text1"/>
        </w:rPr>
      </w:pPr>
    </w:p>
    <w:p w:rsidR="000850DB" w:rsidRPr="00CB562F" w:rsidRDefault="000850DB" w:rsidP="000850DB">
      <w:pPr>
        <w:pStyle w:val="NoSpacing"/>
        <w:jc w:val="both"/>
        <w:rPr>
          <w:rFonts w:eastAsia="Calibri" w:cstheme="minorHAnsi"/>
          <w:color w:val="000000" w:themeColor="text1"/>
        </w:rPr>
        <w:sectPr w:rsidR="000850DB" w:rsidRPr="00CB562F" w:rsidSect="006E2971">
          <w:type w:val="continuous"/>
          <w:pgSz w:w="11907" w:h="16839" w:code="9"/>
          <w:pgMar w:top="1440" w:right="864" w:bottom="864" w:left="1440" w:header="720" w:footer="144" w:gutter="0"/>
          <w:cols w:num="2" w:space="720"/>
          <w:docGrid w:linePitch="360"/>
        </w:sectPr>
      </w:pPr>
    </w:p>
    <w:p w:rsidR="000850DB" w:rsidRPr="00CB562F" w:rsidRDefault="000850DB" w:rsidP="000850DB">
      <w:pPr>
        <w:pStyle w:val="NoSpacing"/>
        <w:jc w:val="center"/>
        <w:rPr>
          <w:rFonts w:eastAsia="Calibri" w:cstheme="minorHAnsi"/>
          <w:color w:val="000000" w:themeColor="text1"/>
        </w:rPr>
      </w:pPr>
    </w:p>
    <w:p w:rsidR="000850DB" w:rsidRPr="00CB562F" w:rsidRDefault="000850DB" w:rsidP="000850DB">
      <w:pPr>
        <w:pStyle w:val="NoSpacing"/>
        <w:jc w:val="center"/>
        <w:rPr>
          <w:rFonts w:eastAsia="Calibri" w:cstheme="minorHAnsi"/>
          <w:b/>
          <w:bCs/>
          <w:color w:val="000000" w:themeColor="text1"/>
        </w:rPr>
      </w:pPr>
      <w:r w:rsidRPr="00CB562F">
        <w:rPr>
          <w:rFonts w:eastAsia="Calibri" w:cstheme="minorHAnsi"/>
          <w:b/>
          <w:bCs/>
          <w:color w:val="000000" w:themeColor="text1"/>
        </w:rPr>
        <w:t>Table 2: Comparison of heart rate variability components between the study groups</w:t>
      </w:r>
    </w:p>
    <w:tbl>
      <w:tblPr>
        <w:tblStyle w:val="TableGrid"/>
        <w:tblW w:w="0" w:type="auto"/>
        <w:jc w:val="center"/>
        <w:tblLook w:val="04A0"/>
      </w:tblPr>
      <w:tblGrid>
        <w:gridCol w:w="3916"/>
        <w:gridCol w:w="2250"/>
        <w:gridCol w:w="2358"/>
        <w:gridCol w:w="1049"/>
      </w:tblGrid>
      <w:tr w:rsidR="000850DB" w:rsidRPr="00CB562F" w:rsidTr="004F39E6">
        <w:trPr>
          <w:trHeight w:val="610"/>
          <w:jc w:val="center"/>
        </w:trPr>
        <w:tc>
          <w:tcPr>
            <w:tcW w:w="3916"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HRV Components</w:t>
            </w:r>
          </w:p>
        </w:tc>
        <w:tc>
          <w:tcPr>
            <w:tcW w:w="2250"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Nomotensive subjects with FH</w:t>
            </w:r>
            <w:r w:rsidRPr="00CB562F">
              <w:rPr>
                <w:rFonts w:eastAsia="Calibri" w:cstheme="minorHAnsi"/>
                <w:color w:val="000000" w:themeColor="text1"/>
                <w:vertAlign w:val="superscript"/>
              </w:rPr>
              <w:t>+</w:t>
            </w:r>
            <w:r w:rsidRPr="00CB562F">
              <w:rPr>
                <w:rFonts w:eastAsia="Calibri" w:cstheme="minorHAnsi"/>
                <w:color w:val="000000" w:themeColor="text1"/>
              </w:rPr>
              <w:t xml:space="preserve"> (n=30)</w:t>
            </w:r>
          </w:p>
        </w:tc>
        <w:tc>
          <w:tcPr>
            <w:tcW w:w="2358"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Nomotensive subjects with FH</w:t>
            </w:r>
            <w:r w:rsidRPr="00CB562F">
              <w:rPr>
                <w:rFonts w:eastAsia="Calibri" w:cstheme="minorHAnsi"/>
                <w:color w:val="000000" w:themeColor="text1"/>
                <w:vertAlign w:val="superscript"/>
              </w:rPr>
              <w:t>-</w:t>
            </w:r>
            <w:r w:rsidRPr="00CB562F">
              <w:rPr>
                <w:rFonts w:eastAsia="Calibri" w:cstheme="minorHAnsi"/>
                <w:color w:val="000000" w:themeColor="text1"/>
              </w:rPr>
              <w:t xml:space="preserve"> (n=30)</w:t>
            </w:r>
          </w:p>
        </w:tc>
        <w:tc>
          <w:tcPr>
            <w:tcW w:w="1049"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p value</w:t>
            </w:r>
          </w:p>
        </w:tc>
      </w:tr>
      <w:tr w:rsidR="000850DB" w:rsidRPr="00CB562F" w:rsidTr="004F39E6">
        <w:trPr>
          <w:trHeight w:val="385"/>
          <w:jc w:val="center"/>
        </w:trPr>
        <w:tc>
          <w:tcPr>
            <w:tcW w:w="3916"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Total power (ms</w:t>
            </w:r>
            <w:r w:rsidRPr="00CB562F">
              <w:rPr>
                <w:rFonts w:eastAsia="Calibri" w:cstheme="minorHAnsi"/>
                <w:color w:val="000000" w:themeColor="text1"/>
                <w:vertAlign w:val="superscript"/>
              </w:rPr>
              <w:t>2</w:t>
            </w:r>
            <w:r w:rsidRPr="00CB562F">
              <w:rPr>
                <w:rFonts w:eastAsia="Calibri" w:cstheme="minorHAnsi"/>
                <w:color w:val="000000" w:themeColor="text1"/>
              </w:rPr>
              <w:t>)</w:t>
            </w:r>
          </w:p>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(0.0 – 0.4 Hz)</w:t>
            </w:r>
          </w:p>
        </w:tc>
        <w:tc>
          <w:tcPr>
            <w:tcW w:w="2250"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1877.57 ± 2369.69</w:t>
            </w:r>
          </w:p>
        </w:tc>
        <w:tc>
          <w:tcPr>
            <w:tcW w:w="2358"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1123.42 ± 841.14</w:t>
            </w:r>
          </w:p>
        </w:tc>
        <w:tc>
          <w:tcPr>
            <w:tcW w:w="1049"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0.1059</w:t>
            </w:r>
          </w:p>
        </w:tc>
      </w:tr>
      <w:tr w:rsidR="000850DB" w:rsidRPr="00CB562F" w:rsidTr="004F39E6">
        <w:trPr>
          <w:trHeight w:val="378"/>
          <w:jc w:val="center"/>
        </w:trPr>
        <w:tc>
          <w:tcPr>
            <w:tcW w:w="3916"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Amplitude of LF power (ms)</w:t>
            </w:r>
          </w:p>
        </w:tc>
        <w:tc>
          <w:tcPr>
            <w:tcW w:w="2250"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4.48 ± 2.35</w:t>
            </w:r>
          </w:p>
        </w:tc>
        <w:tc>
          <w:tcPr>
            <w:tcW w:w="2358"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3.19 ± 1.58</w:t>
            </w:r>
          </w:p>
        </w:tc>
        <w:tc>
          <w:tcPr>
            <w:tcW w:w="1049"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0.0156</w:t>
            </w:r>
          </w:p>
        </w:tc>
      </w:tr>
      <w:tr w:rsidR="000850DB" w:rsidRPr="00CB562F" w:rsidTr="004F39E6">
        <w:trPr>
          <w:trHeight w:val="378"/>
          <w:jc w:val="center"/>
        </w:trPr>
        <w:tc>
          <w:tcPr>
            <w:tcW w:w="3916"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Amplitude of HF power (ms)</w:t>
            </w:r>
          </w:p>
        </w:tc>
        <w:tc>
          <w:tcPr>
            <w:tcW w:w="2250"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3.50 ± 2.98</w:t>
            </w:r>
          </w:p>
        </w:tc>
        <w:tc>
          <w:tcPr>
            <w:tcW w:w="2358"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4.80 ± 2.98</w:t>
            </w:r>
          </w:p>
        </w:tc>
        <w:tc>
          <w:tcPr>
            <w:tcW w:w="1049"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0.0988</w:t>
            </w:r>
          </w:p>
        </w:tc>
      </w:tr>
      <w:tr w:rsidR="000850DB" w:rsidRPr="00CB562F" w:rsidTr="004F39E6">
        <w:trPr>
          <w:trHeight w:val="603"/>
          <w:jc w:val="center"/>
        </w:trPr>
        <w:tc>
          <w:tcPr>
            <w:tcW w:w="3916"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LF power in absolute units (LF ms</w:t>
            </w:r>
            <w:r w:rsidRPr="00CB562F">
              <w:rPr>
                <w:rFonts w:eastAsia="Calibri" w:cstheme="minorHAnsi"/>
                <w:color w:val="000000" w:themeColor="text1"/>
                <w:vertAlign w:val="superscript"/>
              </w:rPr>
              <w:t>2</w:t>
            </w:r>
            <w:r w:rsidRPr="00CB562F">
              <w:rPr>
                <w:rFonts w:eastAsia="Calibri" w:cstheme="minorHAnsi"/>
                <w:color w:val="000000" w:themeColor="text1"/>
              </w:rPr>
              <w:t>) (0.04 – 0.15 Hz)</w:t>
            </w:r>
          </w:p>
        </w:tc>
        <w:tc>
          <w:tcPr>
            <w:tcW w:w="2250"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478.65 ± 486.99</w:t>
            </w:r>
          </w:p>
        </w:tc>
        <w:tc>
          <w:tcPr>
            <w:tcW w:w="2358"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278.38 ± 314.40</w:t>
            </w:r>
          </w:p>
        </w:tc>
        <w:tc>
          <w:tcPr>
            <w:tcW w:w="1049"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0.0634</w:t>
            </w:r>
          </w:p>
        </w:tc>
      </w:tr>
      <w:tr w:rsidR="000850DB" w:rsidRPr="00CB562F" w:rsidTr="004F39E6">
        <w:trPr>
          <w:trHeight w:val="630"/>
          <w:jc w:val="center"/>
        </w:trPr>
        <w:tc>
          <w:tcPr>
            <w:tcW w:w="3916"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HF power in absolute units (HF ms</w:t>
            </w:r>
            <w:r w:rsidRPr="00CB562F">
              <w:rPr>
                <w:rFonts w:eastAsia="Calibri" w:cstheme="minorHAnsi"/>
                <w:color w:val="000000" w:themeColor="text1"/>
                <w:vertAlign w:val="superscript"/>
              </w:rPr>
              <w:t>2</w:t>
            </w:r>
            <w:r w:rsidRPr="00CB562F">
              <w:rPr>
                <w:rFonts w:eastAsia="Calibri" w:cstheme="minorHAnsi"/>
                <w:color w:val="000000" w:themeColor="text1"/>
              </w:rPr>
              <w:t>) (0.15 – 0.4 Hz)</w:t>
            </w:r>
          </w:p>
        </w:tc>
        <w:tc>
          <w:tcPr>
            <w:tcW w:w="2250"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754.15 ± 1251.20</w:t>
            </w:r>
          </w:p>
        </w:tc>
        <w:tc>
          <w:tcPr>
            <w:tcW w:w="2358"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489.02 ± 451.59</w:t>
            </w:r>
          </w:p>
        </w:tc>
        <w:tc>
          <w:tcPr>
            <w:tcW w:w="1049"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0.2795</w:t>
            </w:r>
          </w:p>
        </w:tc>
      </w:tr>
      <w:tr w:rsidR="000850DB" w:rsidRPr="00CB562F" w:rsidTr="004F39E6">
        <w:trPr>
          <w:trHeight w:val="378"/>
          <w:jc w:val="center"/>
        </w:trPr>
        <w:tc>
          <w:tcPr>
            <w:tcW w:w="3916"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LF power in normalized units (LF nu)</w:t>
            </w:r>
          </w:p>
        </w:tc>
        <w:tc>
          <w:tcPr>
            <w:tcW w:w="2250"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49.81 ± 21.98</w:t>
            </w:r>
          </w:p>
        </w:tc>
        <w:tc>
          <w:tcPr>
            <w:tcW w:w="2358"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38.39 ± 16.49</w:t>
            </w:r>
          </w:p>
        </w:tc>
        <w:tc>
          <w:tcPr>
            <w:tcW w:w="1049"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0.0265</w:t>
            </w:r>
            <w:r w:rsidRPr="00CB562F">
              <w:rPr>
                <w:rFonts w:cstheme="minorHAnsi"/>
                <w:color w:val="000000" w:themeColor="text1"/>
              </w:rPr>
              <w:t>*</w:t>
            </w:r>
          </w:p>
        </w:tc>
      </w:tr>
      <w:tr w:rsidR="000850DB" w:rsidRPr="00CB562F" w:rsidTr="004F39E6">
        <w:trPr>
          <w:trHeight w:val="378"/>
          <w:jc w:val="center"/>
        </w:trPr>
        <w:tc>
          <w:tcPr>
            <w:tcW w:w="3916"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HF power in normalized units (HF nu)</w:t>
            </w:r>
          </w:p>
        </w:tc>
        <w:tc>
          <w:tcPr>
            <w:tcW w:w="2250"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50.19 ± 21.98</w:t>
            </w:r>
          </w:p>
        </w:tc>
        <w:tc>
          <w:tcPr>
            <w:tcW w:w="2358"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61.61 ± 16.49</w:t>
            </w:r>
          </w:p>
        </w:tc>
        <w:tc>
          <w:tcPr>
            <w:tcW w:w="1049"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0.0265</w:t>
            </w:r>
            <w:r w:rsidRPr="00CB562F">
              <w:rPr>
                <w:rFonts w:cstheme="minorHAnsi"/>
                <w:color w:val="000000" w:themeColor="text1"/>
              </w:rPr>
              <w:t>*</w:t>
            </w:r>
          </w:p>
        </w:tc>
      </w:tr>
      <w:tr w:rsidR="000850DB" w:rsidRPr="00CB562F" w:rsidTr="004F39E6">
        <w:trPr>
          <w:trHeight w:val="333"/>
          <w:jc w:val="center"/>
        </w:trPr>
        <w:tc>
          <w:tcPr>
            <w:tcW w:w="3916"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LF/HF ratio</w:t>
            </w:r>
          </w:p>
        </w:tc>
        <w:tc>
          <w:tcPr>
            <w:tcW w:w="2250"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1.55 ± 1.46</w:t>
            </w:r>
          </w:p>
        </w:tc>
        <w:tc>
          <w:tcPr>
            <w:tcW w:w="2358"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0.75 ± 0.52</w:t>
            </w:r>
          </w:p>
        </w:tc>
        <w:tc>
          <w:tcPr>
            <w:tcW w:w="1049" w:type="dxa"/>
          </w:tcPr>
          <w:p w:rsidR="000850DB" w:rsidRPr="00CB562F" w:rsidRDefault="000850DB" w:rsidP="004F39E6">
            <w:pPr>
              <w:pStyle w:val="NoSpacing"/>
              <w:rPr>
                <w:rFonts w:eastAsia="Calibri" w:cstheme="minorHAnsi"/>
                <w:color w:val="000000" w:themeColor="text1"/>
              </w:rPr>
            </w:pPr>
            <w:r w:rsidRPr="00CB562F">
              <w:rPr>
                <w:rFonts w:eastAsia="Calibri" w:cstheme="minorHAnsi"/>
                <w:color w:val="000000" w:themeColor="text1"/>
              </w:rPr>
              <w:t>0.0065</w:t>
            </w:r>
            <w:r w:rsidRPr="00CB562F">
              <w:rPr>
                <w:rFonts w:cstheme="minorHAnsi"/>
                <w:color w:val="000000" w:themeColor="text1"/>
              </w:rPr>
              <w:t>**</w:t>
            </w:r>
          </w:p>
        </w:tc>
      </w:tr>
    </w:tbl>
    <w:p w:rsidR="000850DB" w:rsidRPr="00CB562F" w:rsidRDefault="000850DB" w:rsidP="000850DB">
      <w:pPr>
        <w:pStyle w:val="NoSpacing"/>
        <w:jc w:val="both"/>
        <w:rPr>
          <w:rFonts w:eastAsia="Calibri" w:cstheme="minorHAnsi"/>
          <w:color w:val="000000" w:themeColor="text1"/>
        </w:rPr>
        <w:sectPr w:rsidR="000850DB" w:rsidRPr="00CB562F" w:rsidSect="006E2971">
          <w:type w:val="continuous"/>
          <w:pgSz w:w="11907" w:h="16839" w:code="9"/>
          <w:pgMar w:top="1440" w:right="864" w:bottom="864" w:left="1440" w:header="720" w:footer="144" w:gutter="0"/>
          <w:cols w:space="720"/>
          <w:docGrid w:linePitch="360"/>
        </w:sectPr>
      </w:pPr>
      <w:r w:rsidRPr="00CB562F">
        <w:rPr>
          <w:rFonts w:eastAsia="Calibri" w:cstheme="minorHAnsi"/>
          <w:color w:val="000000" w:themeColor="text1"/>
        </w:rPr>
        <w:t>Values are mean ± SD, *p&lt;0.05, **p&lt;0.01, HRV: Heart rate variability, LF: Low frequency, HF: High frequency, FH</w:t>
      </w:r>
      <w:r w:rsidRPr="00CB562F">
        <w:rPr>
          <w:rFonts w:eastAsia="Calibri" w:cstheme="minorHAnsi"/>
          <w:color w:val="000000" w:themeColor="text1"/>
          <w:vertAlign w:val="superscript"/>
        </w:rPr>
        <w:t>+</w:t>
      </w:r>
      <w:r w:rsidRPr="00CB562F">
        <w:rPr>
          <w:rFonts w:eastAsia="Calibri" w:cstheme="minorHAnsi"/>
          <w:color w:val="000000" w:themeColor="text1"/>
        </w:rPr>
        <w:t>: Subjects with parental history of essential hypertension, FH</w:t>
      </w:r>
      <w:r w:rsidRPr="00CB562F">
        <w:rPr>
          <w:rFonts w:eastAsia="Calibri" w:cstheme="minorHAnsi"/>
          <w:color w:val="000000" w:themeColor="text1"/>
          <w:vertAlign w:val="superscript"/>
        </w:rPr>
        <w:t>-</w:t>
      </w:r>
      <w:r w:rsidRPr="00CB562F">
        <w:rPr>
          <w:rFonts w:eastAsia="Calibri" w:cstheme="minorHAnsi"/>
          <w:color w:val="000000" w:themeColor="text1"/>
        </w:rPr>
        <w:t>: Subjects without parental history of essential hypertension</w:t>
      </w:r>
    </w:p>
    <w:p w:rsidR="000850DB" w:rsidRPr="00CB562F" w:rsidRDefault="000850DB" w:rsidP="000850DB">
      <w:pPr>
        <w:pStyle w:val="NoSpacing"/>
        <w:jc w:val="both"/>
        <w:rPr>
          <w:rFonts w:eastAsia="Calibri" w:cstheme="minorHAnsi"/>
          <w:b/>
          <w:bCs/>
          <w:color w:val="000000" w:themeColor="text1"/>
        </w:rPr>
      </w:pPr>
    </w:p>
    <w:p w:rsidR="000850DB" w:rsidRPr="00CB562F" w:rsidRDefault="000850DB" w:rsidP="000850DB">
      <w:pPr>
        <w:pStyle w:val="NoSpacing"/>
        <w:jc w:val="both"/>
        <w:rPr>
          <w:rFonts w:eastAsia="Calibri" w:cstheme="minorHAnsi"/>
          <w:b/>
          <w:bCs/>
          <w:color w:val="000000" w:themeColor="text1"/>
        </w:rPr>
        <w:sectPr w:rsidR="000850DB" w:rsidRPr="00CB562F" w:rsidSect="006E2971">
          <w:headerReference w:type="default" r:id="rId9"/>
          <w:footerReference w:type="default" r:id="rId10"/>
          <w:type w:val="continuous"/>
          <w:pgSz w:w="11907" w:h="16839" w:code="9"/>
          <w:pgMar w:top="1440" w:right="864" w:bottom="864" w:left="1440" w:header="720" w:footer="144" w:gutter="0"/>
          <w:pgNumType w:start="1"/>
          <w:cols w:space="720"/>
          <w:docGrid w:linePitch="360"/>
        </w:sectPr>
      </w:pPr>
    </w:p>
    <w:p w:rsidR="000850DB" w:rsidRPr="00CB562F" w:rsidRDefault="000850DB" w:rsidP="000850DB">
      <w:pPr>
        <w:pStyle w:val="NoSpacing"/>
        <w:jc w:val="both"/>
        <w:rPr>
          <w:rFonts w:eastAsia="Calibri" w:cstheme="minorHAnsi"/>
          <w:color w:val="000000" w:themeColor="text1"/>
        </w:rPr>
      </w:pPr>
      <w:r w:rsidRPr="00CB562F">
        <w:rPr>
          <w:rFonts w:eastAsia="Calibri" w:cstheme="minorHAnsi"/>
          <w:b/>
          <w:bCs/>
          <w:color w:val="000000" w:themeColor="text1"/>
        </w:rPr>
        <w:lastRenderedPageBreak/>
        <w:t xml:space="preserve">Discussion: </w:t>
      </w:r>
      <w:r w:rsidRPr="00CB562F">
        <w:rPr>
          <w:rFonts w:eastAsia="Calibri" w:cstheme="minorHAnsi"/>
          <w:color w:val="000000" w:themeColor="text1"/>
        </w:rPr>
        <w:t>Autonomic functions were assessed by measurement of the variation in resting heart rate using frequency spectrum analysis of HRV. High frequency spectral power reflects parasympathetic modulation of RR intervals at respiratory frequency</w:t>
      </w:r>
      <w:r w:rsidRPr="00CB562F">
        <w:rPr>
          <w:rFonts w:eastAsia="Calibri" w:cstheme="minorHAnsi"/>
          <w:color w:val="000000" w:themeColor="text1"/>
          <w:vertAlign w:val="superscript"/>
        </w:rPr>
        <w:t>10</w:t>
      </w:r>
      <w:r w:rsidRPr="00CB562F">
        <w:rPr>
          <w:rFonts w:eastAsia="Calibri" w:cstheme="minorHAnsi"/>
          <w:color w:val="000000" w:themeColor="text1"/>
        </w:rPr>
        <w:t>. LF power in absolute units of power quantifies baroreflex mediated modulation of RR intervals in the 0.04-0.15 Hz range changes in sympathetic as well as vagal nerve traffic to heart are thought to contribute to LF power</w:t>
      </w:r>
      <w:r w:rsidRPr="00CB562F">
        <w:rPr>
          <w:rFonts w:eastAsia="Calibri" w:cstheme="minorHAnsi"/>
          <w:color w:val="000000" w:themeColor="text1"/>
          <w:vertAlign w:val="superscript"/>
        </w:rPr>
        <w:t>11</w:t>
      </w:r>
      <w:r w:rsidRPr="00CB562F">
        <w:rPr>
          <w:rFonts w:eastAsia="Calibri" w:cstheme="minorHAnsi"/>
          <w:color w:val="000000" w:themeColor="text1"/>
        </w:rPr>
        <w:t>.</w:t>
      </w:r>
      <w:r w:rsidRPr="00CB562F">
        <w:rPr>
          <w:rFonts w:eastAsia="Calibri" w:cstheme="minorHAnsi"/>
          <w:color w:val="000000" w:themeColor="text1"/>
          <w:vertAlign w:val="superscript"/>
        </w:rPr>
        <w:t xml:space="preserve"> </w:t>
      </w:r>
      <w:r w:rsidRPr="00CB562F">
        <w:rPr>
          <w:rFonts w:eastAsia="Calibri" w:cstheme="minorHAnsi"/>
          <w:color w:val="000000" w:themeColor="text1"/>
        </w:rPr>
        <w:t>Total power calculated as the sum of LF and HF powers is also an index of overall HRV. The representation of LF and HF in normalized units emphasizes the controlled and balanced behaviour of the two branches of autonomic nervous system</w:t>
      </w:r>
      <w:r w:rsidRPr="00CB562F">
        <w:rPr>
          <w:rFonts w:eastAsia="Calibri" w:cstheme="minorHAnsi"/>
          <w:color w:val="000000" w:themeColor="text1"/>
          <w:vertAlign w:val="superscript"/>
        </w:rPr>
        <w:t>4</w:t>
      </w:r>
      <w:r w:rsidRPr="00CB562F">
        <w:rPr>
          <w:rFonts w:eastAsia="Calibri" w:cstheme="minorHAnsi"/>
          <w:color w:val="000000" w:themeColor="text1"/>
        </w:rPr>
        <w:t xml:space="preserve">. </w:t>
      </w:r>
    </w:p>
    <w:p w:rsidR="000850DB" w:rsidRPr="00CB562F" w:rsidRDefault="000850DB" w:rsidP="000850DB">
      <w:pPr>
        <w:pStyle w:val="NoSpacing"/>
        <w:jc w:val="both"/>
        <w:rPr>
          <w:rFonts w:eastAsia="Calibri" w:cstheme="minorHAnsi"/>
          <w:color w:val="000000" w:themeColor="text1"/>
        </w:rPr>
      </w:pPr>
    </w:p>
    <w:p w:rsidR="000850DB" w:rsidRPr="00CB562F" w:rsidRDefault="000850DB" w:rsidP="000850DB">
      <w:pPr>
        <w:pStyle w:val="NoSpacing"/>
        <w:jc w:val="both"/>
        <w:rPr>
          <w:rFonts w:cstheme="minorHAnsi"/>
          <w:color w:val="000000" w:themeColor="text1"/>
        </w:rPr>
      </w:pPr>
      <w:r w:rsidRPr="00CB562F">
        <w:rPr>
          <w:rFonts w:cstheme="minorHAnsi"/>
          <w:color w:val="000000" w:themeColor="text1"/>
        </w:rPr>
        <w:t>The amplitude of LF or HF power is a measure of autonomic nervous system modulation of sinus node firing, and not a measure of global sympathetic and parasympathetic nervous system tone. However, the LF/HF ratio is used as an index of sympathetic-parasympathetic balance</w:t>
      </w:r>
      <w:r w:rsidRPr="00CB562F">
        <w:rPr>
          <w:rFonts w:cstheme="minorHAnsi"/>
          <w:color w:val="000000" w:themeColor="text1"/>
          <w:vertAlign w:val="superscript"/>
        </w:rPr>
        <w:t>12</w:t>
      </w:r>
      <w:r w:rsidRPr="00CB562F">
        <w:rPr>
          <w:rFonts w:cstheme="minorHAnsi"/>
          <w:color w:val="000000" w:themeColor="text1"/>
        </w:rPr>
        <w:t xml:space="preserve">. Hemodynamic variables were assessed </w:t>
      </w:r>
      <w:r w:rsidRPr="00CB562F">
        <w:rPr>
          <w:rFonts w:cstheme="minorHAnsi"/>
          <w:color w:val="000000" w:themeColor="text1"/>
        </w:rPr>
        <w:lastRenderedPageBreak/>
        <w:t>on the principle of Impedance plethysmography (IPG). IPG was used for measuring changes in blood volume or blood flow in neck and lower extremities. The amplitude normalized dZ/dt (rate of change of impedance) waveform is a gross indicator of blood flow. Thus maximum amplitude of NdZ/dt (normalized dZ/dt) wave form will be taken as an index of blood flow in the limb and termed as Blood flow index (BFI). BFI represents</w:t>
      </w:r>
      <w:r w:rsidRPr="00CB562F">
        <w:rPr>
          <w:rFonts w:eastAsia="Calibri" w:cstheme="minorHAnsi"/>
          <w:color w:val="000000" w:themeColor="text1"/>
        </w:rPr>
        <w:t xml:space="preserve"> arterial blood flow</w:t>
      </w:r>
      <w:r w:rsidRPr="00CB562F">
        <w:rPr>
          <w:rFonts w:cstheme="minorHAnsi"/>
          <w:color w:val="000000" w:themeColor="text1"/>
          <w:vertAlign w:val="superscript"/>
        </w:rPr>
        <w:t>5</w:t>
      </w:r>
      <w:r w:rsidRPr="00CB562F">
        <w:rPr>
          <w:rFonts w:eastAsia="Calibri" w:cstheme="minorHAnsi"/>
          <w:color w:val="000000" w:themeColor="text1"/>
        </w:rPr>
        <w:t>.</w:t>
      </w:r>
      <w:r w:rsidRPr="00CB562F">
        <w:rPr>
          <w:rFonts w:cstheme="minorHAnsi"/>
          <w:color w:val="000000" w:themeColor="text1"/>
        </w:rPr>
        <w:t xml:space="preserve"> W</w:t>
      </w:r>
      <w:r w:rsidRPr="00CB562F">
        <w:rPr>
          <w:rFonts w:eastAsia="Calibri" w:cstheme="minorHAnsi"/>
          <w:color w:val="000000" w:themeColor="text1"/>
        </w:rPr>
        <w:t>hile travelling toward the periphery</w:t>
      </w:r>
      <w:r w:rsidRPr="00CB562F">
        <w:rPr>
          <w:rFonts w:cstheme="minorHAnsi"/>
          <w:color w:val="000000" w:themeColor="text1"/>
        </w:rPr>
        <w:t>, the arrival time</w:t>
      </w:r>
      <w:r w:rsidRPr="00CB562F">
        <w:rPr>
          <w:rFonts w:eastAsia="Calibri" w:cstheme="minorHAnsi"/>
          <w:color w:val="000000" w:themeColor="text1"/>
        </w:rPr>
        <w:t xml:space="preserve"> of a pressure pulse at two different sites of the arterial tree are commonly referred to as pulse arrival time</w:t>
      </w:r>
      <w:r w:rsidRPr="00CB562F">
        <w:rPr>
          <w:rFonts w:cstheme="minorHAnsi"/>
          <w:color w:val="000000" w:themeColor="text1"/>
          <w:vertAlign w:val="superscript"/>
        </w:rPr>
        <w:t>13</w:t>
      </w:r>
      <w:r w:rsidRPr="00CB562F">
        <w:rPr>
          <w:rFonts w:cstheme="minorHAnsi"/>
          <w:color w:val="000000" w:themeColor="text1"/>
        </w:rPr>
        <w:t xml:space="preserve">.  </w:t>
      </w:r>
    </w:p>
    <w:p w:rsidR="000850DB" w:rsidRPr="00CB562F" w:rsidRDefault="000850DB" w:rsidP="000850DB">
      <w:pPr>
        <w:pStyle w:val="NoSpacing"/>
        <w:jc w:val="both"/>
        <w:rPr>
          <w:rFonts w:cstheme="minorHAnsi"/>
          <w:color w:val="000000" w:themeColor="text1"/>
        </w:rPr>
      </w:pPr>
    </w:p>
    <w:p w:rsidR="000850DB" w:rsidRPr="00CB562F" w:rsidRDefault="000850DB" w:rsidP="000850DB">
      <w:pPr>
        <w:pStyle w:val="NoSpacing"/>
        <w:jc w:val="both"/>
        <w:rPr>
          <w:rFonts w:cstheme="minorHAnsi"/>
          <w:color w:val="000000" w:themeColor="text1"/>
        </w:rPr>
      </w:pPr>
      <w:r w:rsidRPr="00CB562F">
        <w:rPr>
          <w:rFonts w:cstheme="minorHAnsi"/>
          <w:color w:val="000000" w:themeColor="text1"/>
        </w:rPr>
        <w:t>Present study examined the autonomic responsiveness and hemodynamic variables in subjects with and without parental history of essential hypertension. We observed a significant higher LF nu (p&lt;0.05), reduced HF nu (p&lt;0.05) and higher LF/HF ratio in subjects with FH</w:t>
      </w:r>
      <w:r w:rsidRPr="00CB562F">
        <w:rPr>
          <w:rFonts w:cstheme="minorHAnsi"/>
          <w:color w:val="000000" w:themeColor="text1"/>
          <w:vertAlign w:val="superscript"/>
        </w:rPr>
        <w:t>+</w:t>
      </w:r>
      <w:r w:rsidRPr="00CB562F">
        <w:rPr>
          <w:rFonts w:cstheme="minorHAnsi"/>
          <w:color w:val="000000" w:themeColor="text1"/>
        </w:rPr>
        <w:t xml:space="preserve"> as opposed to subjects with FH</w:t>
      </w:r>
      <w:r w:rsidRPr="00CB562F">
        <w:rPr>
          <w:rFonts w:cstheme="minorHAnsi"/>
          <w:color w:val="000000" w:themeColor="text1"/>
          <w:vertAlign w:val="superscript"/>
        </w:rPr>
        <w:t xml:space="preserve">- </w:t>
      </w:r>
      <w:r w:rsidRPr="00CB562F">
        <w:rPr>
          <w:rFonts w:cstheme="minorHAnsi"/>
          <w:color w:val="000000" w:themeColor="text1"/>
        </w:rPr>
        <w:t>[Table 2], consistent with the study of Sowmya et al, (2009)</w:t>
      </w:r>
      <w:r w:rsidRPr="00CB562F">
        <w:rPr>
          <w:rFonts w:cstheme="minorHAnsi"/>
          <w:color w:val="000000" w:themeColor="text1"/>
          <w:vertAlign w:val="superscript"/>
        </w:rPr>
        <w:t>14</w:t>
      </w:r>
      <w:r w:rsidRPr="00CB562F">
        <w:rPr>
          <w:rFonts w:cstheme="minorHAnsi"/>
          <w:color w:val="000000" w:themeColor="text1"/>
        </w:rPr>
        <w:t xml:space="preserve">. </w:t>
      </w:r>
    </w:p>
    <w:p w:rsidR="000850DB" w:rsidRPr="00CB562F" w:rsidRDefault="000850DB" w:rsidP="000850DB">
      <w:pPr>
        <w:pStyle w:val="NoSpacing"/>
        <w:jc w:val="both"/>
        <w:rPr>
          <w:rFonts w:cstheme="minorHAnsi"/>
          <w:color w:val="000000" w:themeColor="text1"/>
        </w:rPr>
      </w:pPr>
    </w:p>
    <w:p w:rsidR="000850DB" w:rsidRPr="00CB562F" w:rsidRDefault="000850DB" w:rsidP="000850DB">
      <w:pPr>
        <w:pStyle w:val="NoSpacing"/>
        <w:jc w:val="both"/>
        <w:rPr>
          <w:rFonts w:cstheme="minorHAnsi"/>
          <w:color w:val="000000" w:themeColor="text1"/>
        </w:rPr>
      </w:pPr>
      <w:r w:rsidRPr="00CB562F">
        <w:rPr>
          <w:rFonts w:cstheme="minorHAnsi"/>
          <w:color w:val="000000" w:themeColor="text1"/>
        </w:rPr>
        <w:lastRenderedPageBreak/>
        <w:t xml:space="preserve">Consistent with present reports, Piccirillo et al, (2000) and Maver et al,(2004). </w:t>
      </w:r>
      <w:r w:rsidRPr="00CB562F">
        <w:rPr>
          <w:rFonts w:eastAsia="Calibri" w:cstheme="minorHAnsi"/>
          <w:color w:val="000000" w:themeColor="text1"/>
        </w:rPr>
        <w:t>Piccirillo et al, (2000) also reported that higher spectral densities of low frequency in normalized units also had a greater ratio of low-frequency to high-frequency powers (LF/HF) of R-R interval variability in normotensive persons with a positive family history of arterial hypertension compared to the persons with a negative history</w:t>
      </w:r>
      <w:r w:rsidRPr="00CB562F">
        <w:rPr>
          <w:rFonts w:eastAsia="Calibri" w:cstheme="minorHAnsi"/>
          <w:color w:val="000000" w:themeColor="text1"/>
          <w:vertAlign w:val="superscript"/>
        </w:rPr>
        <w:t>15</w:t>
      </w:r>
      <w:r w:rsidRPr="00CB562F">
        <w:rPr>
          <w:rFonts w:eastAsia="Calibri" w:cstheme="minorHAnsi"/>
          <w:color w:val="000000" w:themeColor="text1"/>
        </w:rPr>
        <w:t xml:space="preserve">. </w:t>
      </w:r>
      <w:r w:rsidRPr="00CB562F">
        <w:rPr>
          <w:rFonts w:cstheme="minorHAnsi"/>
          <w:color w:val="000000" w:themeColor="text1"/>
        </w:rPr>
        <w:t>However, Maver et al in 2004 observed decreased high‐frequency power of the heart rate variability spectrum. They concluded that normotensives with a family history of hypertension exhibit altered sympathovagal balance with decreased parasympathetic activity at the cardiac level</w:t>
      </w:r>
      <w:r w:rsidRPr="00CB562F">
        <w:rPr>
          <w:rFonts w:cstheme="minorHAnsi"/>
          <w:color w:val="000000" w:themeColor="text1"/>
          <w:vertAlign w:val="superscript"/>
        </w:rPr>
        <w:t>16</w:t>
      </w:r>
      <w:r w:rsidRPr="00CB562F">
        <w:rPr>
          <w:rFonts w:cstheme="minorHAnsi"/>
          <w:color w:val="000000" w:themeColor="text1"/>
        </w:rPr>
        <w:t xml:space="preserve">. </w:t>
      </w:r>
    </w:p>
    <w:p w:rsidR="000850DB" w:rsidRPr="00CB562F" w:rsidRDefault="000850DB" w:rsidP="000850DB">
      <w:pPr>
        <w:pStyle w:val="NoSpacing"/>
        <w:jc w:val="both"/>
        <w:rPr>
          <w:rFonts w:cstheme="minorHAnsi"/>
          <w:color w:val="000000" w:themeColor="text1"/>
        </w:rPr>
      </w:pPr>
    </w:p>
    <w:p w:rsidR="000850DB" w:rsidRPr="00CB562F" w:rsidRDefault="000850DB" w:rsidP="000850DB">
      <w:pPr>
        <w:pStyle w:val="NoSpacing"/>
        <w:jc w:val="both"/>
        <w:rPr>
          <w:rFonts w:eastAsia="Calibri" w:cstheme="minorHAnsi"/>
          <w:color w:val="000000" w:themeColor="text1"/>
        </w:rPr>
      </w:pPr>
      <w:r w:rsidRPr="00CB562F">
        <w:rPr>
          <w:rFonts w:cstheme="minorHAnsi"/>
          <w:color w:val="000000" w:themeColor="text1"/>
        </w:rPr>
        <w:t xml:space="preserve">Contrary to the above studies, Shang Wu et al, (2008) </w:t>
      </w:r>
      <w:r w:rsidRPr="00CB562F">
        <w:rPr>
          <w:rFonts w:eastAsia="Calibri" w:cstheme="minorHAnsi"/>
          <w:color w:val="000000" w:themeColor="text1"/>
        </w:rPr>
        <w:t>found that FH</w:t>
      </w:r>
      <w:r w:rsidRPr="00CB562F">
        <w:rPr>
          <w:rFonts w:eastAsia="Calibri" w:cstheme="minorHAnsi"/>
          <w:color w:val="000000" w:themeColor="text1"/>
          <w:vertAlign w:val="superscript"/>
        </w:rPr>
        <w:t>+</w:t>
      </w:r>
      <w:r w:rsidRPr="00CB562F">
        <w:rPr>
          <w:rFonts w:eastAsia="Calibri" w:cstheme="minorHAnsi"/>
          <w:color w:val="000000" w:themeColor="text1"/>
        </w:rPr>
        <w:t xml:space="preserve"> subjects had lower HF power than that of FH</w:t>
      </w:r>
      <w:r w:rsidRPr="00CB562F">
        <w:rPr>
          <w:rFonts w:eastAsia="Calibri" w:cstheme="minorHAnsi"/>
          <w:color w:val="000000" w:themeColor="text1"/>
          <w:vertAlign w:val="superscript"/>
        </w:rPr>
        <w:t>-</w:t>
      </w:r>
      <w:r w:rsidRPr="00CB562F">
        <w:rPr>
          <w:rFonts w:eastAsia="Calibri" w:cstheme="minorHAnsi"/>
          <w:color w:val="000000" w:themeColor="text1"/>
        </w:rPr>
        <w:t xml:space="preserve"> subjects but there was no difference in the square roots of LF/HF ratios between FH</w:t>
      </w:r>
      <w:r w:rsidRPr="00CB562F">
        <w:rPr>
          <w:rFonts w:eastAsia="Calibri" w:cstheme="minorHAnsi"/>
          <w:color w:val="000000" w:themeColor="text1"/>
          <w:vertAlign w:val="superscript"/>
        </w:rPr>
        <w:t xml:space="preserve">+ </w:t>
      </w:r>
      <w:r w:rsidRPr="00CB562F">
        <w:rPr>
          <w:rFonts w:eastAsia="Calibri" w:cstheme="minorHAnsi"/>
          <w:color w:val="000000" w:themeColor="text1"/>
        </w:rPr>
        <w:t>and FH</w:t>
      </w:r>
      <w:r w:rsidRPr="00CB562F">
        <w:rPr>
          <w:rFonts w:eastAsia="Calibri" w:cstheme="minorHAnsi"/>
          <w:color w:val="000000" w:themeColor="text1"/>
          <w:vertAlign w:val="superscript"/>
        </w:rPr>
        <w:t>-17</w:t>
      </w:r>
      <w:r w:rsidRPr="00CB562F">
        <w:rPr>
          <w:rFonts w:eastAsia="Calibri" w:cstheme="minorHAnsi"/>
          <w:color w:val="000000" w:themeColor="text1"/>
        </w:rPr>
        <w:t>.</w:t>
      </w:r>
    </w:p>
    <w:p w:rsidR="000850DB" w:rsidRPr="00CB562F" w:rsidRDefault="000850DB" w:rsidP="000850DB">
      <w:pPr>
        <w:pStyle w:val="NoSpacing"/>
        <w:jc w:val="both"/>
        <w:rPr>
          <w:rFonts w:cstheme="minorHAnsi"/>
          <w:color w:val="000000" w:themeColor="text1"/>
        </w:rPr>
      </w:pPr>
    </w:p>
    <w:p w:rsidR="000850DB" w:rsidRPr="00CB562F" w:rsidRDefault="000850DB" w:rsidP="000850DB">
      <w:pPr>
        <w:pStyle w:val="NoSpacing"/>
        <w:jc w:val="both"/>
        <w:rPr>
          <w:rFonts w:cstheme="minorHAnsi"/>
          <w:color w:val="000000" w:themeColor="text1"/>
        </w:rPr>
      </w:pPr>
      <w:r w:rsidRPr="00CB562F">
        <w:rPr>
          <w:rFonts w:cstheme="minorHAnsi"/>
          <w:color w:val="000000" w:themeColor="text1"/>
        </w:rPr>
        <w:t xml:space="preserve">The above studies had shown that normotensive subjects with parental history of essential hypertension exhibit exaggerated sympathetic activity and reduced parasympathetic activity </w:t>
      </w:r>
      <w:r w:rsidRPr="00CB562F">
        <w:rPr>
          <w:rFonts w:eastAsia="Calibri" w:cstheme="minorHAnsi"/>
          <w:color w:val="000000" w:themeColor="text1"/>
        </w:rPr>
        <w:t xml:space="preserve">indicating altered sympathovagal balance as evidenced by increased LF (nu), LF/HF ratio and decreased HF (nu). </w:t>
      </w:r>
      <w:r w:rsidRPr="00CB562F">
        <w:rPr>
          <w:rFonts w:cstheme="minorHAnsi"/>
          <w:color w:val="000000" w:themeColor="text1"/>
        </w:rPr>
        <w:t xml:space="preserve">Thus, the altered </w:t>
      </w:r>
      <w:r w:rsidRPr="00CB562F">
        <w:rPr>
          <w:rFonts w:eastAsia="Calibri" w:cstheme="minorHAnsi"/>
          <w:color w:val="000000" w:themeColor="text1"/>
        </w:rPr>
        <w:t xml:space="preserve">sympathovagal balance may be an early marker of cardiovascular changes in subjects with a genetic predisposition to </w:t>
      </w:r>
      <w:r w:rsidRPr="00CB562F">
        <w:rPr>
          <w:rFonts w:cstheme="minorHAnsi"/>
          <w:color w:val="000000" w:themeColor="text1"/>
        </w:rPr>
        <w:t xml:space="preserve">hypertension. </w:t>
      </w:r>
      <w:r w:rsidRPr="00CB562F">
        <w:rPr>
          <w:rFonts w:eastAsia="Calibri" w:cstheme="minorHAnsi"/>
          <w:color w:val="000000" w:themeColor="text1"/>
        </w:rPr>
        <w:t>Autonomic imbalance could also be the direct consequence of genetic defects or a result of the cardiac structural and functional abnormalities found in the offspring of hypertensive families</w:t>
      </w:r>
      <w:r w:rsidRPr="00CB562F">
        <w:rPr>
          <w:rFonts w:eastAsia="Calibri" w:cstheme="minorHAnsi"/>
          <w:color w:val="000000" w:themeColor="text1"/>
          <w:vertAlign w:val="superscript"/>
        </w:rPr>
        <w:t>18</w:t>
      </w:r>
      <w:r w:rsidRPr="00CB562F">
        <w:rPr>
          <w:rFonts w:cstheme="minorHAnsi"/>
          <w:color w:val="000000" w:themeColor="text1"/>
        </w:rPr>
        <w:t>.</w:t>
      </w:r>
    </w:p>
    <w:p w:rsidR="000850DB" w:rsidRPr="00CB562F" w:rsidRDefault="000850DB" w:rsidP="000850DB">
      <w:pPr>
        <w:pStyle w:val="NoSpacing"/>
        <w:jc w:val="both"/>
        <w:rPr>
          <w:rFonts w:cstheme="minorHAnsi"/>
          <w:b/>
          <w:bCs/>
          <w:color w:val="000000" w:themeColor="text1"/>
        </w:rPr>
      </w:pPr>
    </w:p>
    <w:p w:rsidR="000850DB" w:rsidRPr="00CB562F" w:rsidRDefault="000850DB" w:rsidP="000850DB">
      <w:pPr>
        <w:pStyle w:val="NoSpacing"/>
        <w:jc w:val="both"/>
        <w:rPr>
          <w:rFonts w:cstheme="minorHAnsi"/>
          <w:color w:val="000000" w:themeColor="text1"/>
        </w:rPr>
      </w:pPr>
      <w:r w:rsidRPr="00CB562F">
        <w:rPr>
          <w:rFonts w:cstheme="minorHAnsi"/>
          <w:b/>
          <w:bCs/>
          <w:color w:val="000000" w:themeColor="text1"/>
        </w:rPr>
        <w:t xml:space="preserve">Conclusion: </w:t>
      </w:r>
      <w:r w:rsidRPr="00CB562F">
        <w:rPr>
          <w:rFonts w:cstheme="minorHAnsi"/>
          <w:color w:val="000000" w:themeColor="text1"/>
        </w:rPr>
        <w:t>The normotensives</w:t>
      </w:r>
      <w:r w:rsidRPr="00CB562F">
        <w:rPr>
          <w:rFonts w:eastAsia="Calibri" w:cstheme="minorHAnsi"/>
          <w:color w:val="000000" w:themeColor="text1"/>
        </w:rPr>
        <w:t xml:space="preserve"> with a family history of hypertension exhibit altered sympathovagal balance with decreased parasympathetic activity at the cardiac level, s</w:t>
      </w:r>
      <w:r w:rsidRPr="00CB562F">
        <w:rPr>
          <w:rFonts w:cstheme="minorHAnsi"/>
          <w:color w:val="000000" w:themeColor="text1"/>
        </w:rPr>
        <w:t xml:space="preserve">uggesting that early diagnosis and treatment does have significant effect on cardiovascular autonomic activity. </w:t>
      </w:r>
      <w:r w:rsidRPr="00CB562F">
        <w:rPr>
          <w:rFonts w:eastAsia="Calibri" w:cstheme="minorHAnsi"/>
          <w:color w:val="000000" w:themeColor="text1"/>
        </w:rPr>
        <w:t>The ability to detect cardiovascular autonomic changes in younger age group may help to identify those persons who are prone to develop hypertension later in their future life.</w:t>
      </w:r>
      <w:r w:rsidRPr="00CB562F">
        <w:rPr>
          <w:rFonts w:cstheme="minorHAnsi"/>
          <w:color w:val="000000" w:themeColor="text1"/>
        </w:rPr>
        <w:t xml:space="preserve"> </w:t>
      </w:r>
    </w:p>
    <w:p w:rsidR="000850DB" w:rsidRPr="00CB562F" w:rsidRDefault="000850DB" w:rsidP="000850DB">
      <w:pPr>
        <w:pStyle w:val="NoSpacing"/>
        <w:jc w:val="both"/>
        <w:rPr>
          <w:rFonts w:cstheme="minorHAnsi"/>
          <w:color w:val="000000" w:themeColor="text1"/>
        </w:rPr>
      </w:pPr>
    </w:p>
    <w:p w:rsidR="000850DB" w:rsidRPr="00CB562F" w:rsidRDefault="000850DB" w:rsidP="000850DB">
      <w:pPr>
        <w:pStyle w:val="NoSpacing"/>
        <w:jc w:val="both"/>
        <w:rPr>
          <w:rFonts w:cstheme="minorHAnsi"/>
          <w:color w:val="000000" w:themeColor="text1"/>
        </w:rPr>
      </w:pPr>
      <w:r w:rsidRPr="00CB562F">
        <w:rPr>
          <w:rFonts w:cstheme="minorHAnsi"/>
          <w:b/>
          <w:bCs/>
          <w:color w:val="000000" w:themeColor="text1"/>
        </w:rPr>
        <w:t xml:space="preserve">Limitation: </w:t>
      </w:r>
      <w:r w:rsidRPr="00CB562F">
        <w:rPr>
          <w:rFonts w:cstheme="minorHAnsi"/>
          <w:color w:val="000000" w:themeColor="text1"/>
        </w:rPr>
        <w:t xml:space="preserve">The future studies should include more methods of assessment of autonomic activity such as sympathetic activity by estimation of plasma catecholamine or </w:t>
      </w:r>
      <w:r w:rsidRPr="00CB562F">
        <w:rPr>
          <w:rFonts w:cstheme="minorHAnsi"/>
          <w:color w:val="000000" w:themeColor="text1"/>
        </w:rPr>
        <w:lastRenderedPageBreak/>
        <w:t>metabolites of catecholamine in urine like Vanillylmandelic acid (VMA), Metanephrine and Normetanephrine together with HRV analysis to validate the present findings.</w:t>
      </w:r>
    </w:p>
    <w:p w:rsidR="000850DB" w:rsidRPr="00CB562F" w:rsidRDefault="000850DB" w:rsidP="000850DB">
      <w:pPr>
        <w:pStyle w:val="NoSpacing"/>
        <w:jc w:val="both"/>
        <w:rPr>
          <w:rFonts w:eastAsia="Calibri" w:cstheme="minorHAnsi"/>
          <w:b/>
          <w:bCs/>
          <w:color w:val="000000" w:themeColor="text1"/>
        </w:rPr>
      </w:pPr>
    </w:p>
    <w:p w:rsidR="000850DB" w:rsidRPr="00CB562F" w:rsidRDefault="000850DB" w:rsidP="000850DB">
      <w:pPr>
        <w:pStyle w:val="NoSpacing"/>
        <w:jc w:val="both"/>
        <w:rPr>
          <w:rFonts w:eastAsia="Calibri" w:cstheme="minorHAnsi"/>
          <w:b/>
          <w:bCs/>
          <w:color w:val="000000" w:themeColor="text1"/>
        </w:rPr>
      </w:pPr>
      <w:r w:rsidRPr="00CB562F">
        <w:rPr>
          <w:rFonts w:eastAsia="Calibri" w:cstheme="minorHAnsi"/>
          <w:b/>
          <w:bCs/>
          <w:color w:val="000000" w:themeColor="text1"/>
        </w:rPr>
        <w:t xml:space="preserve">References: </w:t>
      </w:r>
    </w:p>
    <w:p w:rsidR="000850DB" w:rsidRPr="00CB562F" w:rsidRDefault="000850DB" w:rsidP="000850DB">
      <w:pPr>
        <w:pStyle w:val="NoSpacing"/>
        <w:numPr>
          <w:ilvl w:val="0"/>
          <w:numId w:val="20"/>
        </w:numPr>
        <w:ind w:left="284"/>
        <w:jc w:val="both"/>
        <w:rPr>
          <w:rFonts w:cstheme="minorHAnsi"/>
          <w:color w:val="000000" w:themeColor="text1"/>
        </w:rPr>
      </w:pPr>
      <w:r w:rsidRPr="00CB562F">
        <w:rPr>
          <w:rFonts w:cstheme="minorHAnsi"/>
          <w:bCs/>
          <w:color w:val="000000" w:themeColor="text1"/>
        </w:rPr>
        <w:t xml:space="preserve">Davrath LR, Goren Y, Pinhas I, Toledo E, Akselrod S. </w:t>
      </w:r>
      <w:r w:rsidRPr="00CB562F">
        <w:rPr>
          <w:rFonts w:cstheme="minorHAnsi"/>
          <w:color w:val="000000" w:themeColor="text1"/>
        </w:rPr>
        <w:t xml:space="preserve">Early autonomic malfunction in normotensive individuals with a genetic predisposition to essential hypertension. </w:t>
      </w:r>
      <w:r w:rsidRPr="00CB562F">
        <w:rPr>
          <w:rFonts w:cstheme="minorHAnsi"/>
          <w:iCs/>
          <w:color w:val="000000" w:themeColor="text1"/>
        </w:rPr>
        <w:t xml:space="preserve">Am J Physiol Heart Circ Physiol </w:t>
      </w:r>
      <w:r w:rsidRPr="00CB562F">
        <w:rPr>
          <w:rFonts w:cstheme="minorHAnsi"/>
          <w:color w:val="000000" w:themeColor="text1"/>
        </w:rPr>
        <w:t>2003; 285: H1697-H1704.</w:t>
      </w:r>
    </w:p>
    <w:p w:rsidR="000850DB" w:rsidRPr="00CB562F" w:rsidRDefault="000850DB" w:rsidP="000850DB">
      <w:pPr>
        <w:pStyle w:val="NoSpacing"/>
        <w:numPr>
          <w:ilvl w:val="0"/>
          <w:numId w:val="20"/>
        </w:numPr>
        <w:ind w:left="284"/>
        <w:jc w:val="both"/>
        <w:rPr>
          <w:rFonts w:cstheme="minorHAnsi"/>
          <w:color w:val="000000" w:themeColor="text1"/>
        </w:rPr>
      </w:pPr>
      <w:r w:rsidRPr="00CB562F">
        <w:rPr>
          <w:rFonts w:cstheme="minorHAnsi"/>
          <w:color w:val="000000" w:themeColor="text1"/>
        </w:rPr>
        <w:t xml:space="preserve">Akselrod S, Gordon D, Ubel FA, Shannon DC, Barger AC, Cohon RJ. Power spectrum analysis of heart rate fluctuation: A quantitative probe of beat to beat cardiovascular control. Science 1981; 213: 220-222. </w:t>
      </w:r>
    </w:p>
    <w:p w:rsidR="000850DB" w:rsidRPr="00CB562F" w:rsidRDefault="000850DB" w:rsidP="000850DB">
      <w:pPr>
        <w:pStyle w:val="NoSpacing"/>
        <w:numPr>
          <w:ilvl w:val="0"/>
          <w:numId w:val="20"/>
        </w:numPr>
        <w:ind w:left="284"/>
        <w:jc w:val="both"/>
        <w:rPr>
          <w:rFonts w:cstheme="minorHAnsi"/>
          <w:color w:val="000000" w:themeColor="text1"/>
        </w:rPr>
      </w:pPr>
      <w:r w:rsidRPr="00CB562F">
        <w:rPr>
          <w:rFonts w:cstheme="minorHAnsi"/>
          <w:color w:val="000000" w:themeColor="text1"/>
        </w:rPr>
        <w:t xml:space="preserve">Malliani A, Pagani M, Lombardi F, Cerutti S. Cardiovascular neural regulation explored in the frequency domain. </w:t>
      </w:r>
      <w:r w:rsidRPr="00CB562F">
        <w:rPr>
          <w:rFonts w:cstheme="minorHAnsi"/>
          <w:iCs/>
          <w:color w:val="000000" w:themeColor="text1"/>
        </w:rPr>
        <w:t>Circulation</w:t>
      </w:r>
      <w:r w:rsidRPr="00CB562F">
        <w:rPr>
          <w:rFonts w:cstheme="minorHAnsi"/>
          <w:i/>
          <w:iCs/>
          <w:color w:val="000000" w:themeColor="text1"/>
        </w:rPr>
        <w:t xml:space="preserve"> </w:t>
      </w:r>
      <w:r w:rsidRPr="00CB562F">
        <w:rPr>
          <w:rFonts w:cstheme="minorHAnsi"/>
          <w:color w:val="000000" w:themeColor="text1"/>
        </w:rPr>
        <w:t>1991; 84: 1482-1492.</w:t>
      </w:r>
    </w:p>
    <w:p w:rsidR="000850DB" w:rsidRPr="00CB562F" w:rsidRDefault="000850DB" w:rsidP="000850DB">
      <w:pPr>
        <w:pStyle w:val="NoSpacing"/>
        <w:numPr>
          <w:ilvl w:val="0"/>
          <w:numId w:val="20"/>
        </w:numPr>
        <w:ind w:left="284"/>
        <w:jc w:val="both"/>
        <w:rPr>
          <w:rFonts w:cstheme="minorHAnsi"/>
          <w:color w:val="000000" w:themeColor="text1"/>
        </w:rPr>
      </w:pPr>
      <w:r w:rsidRPr="00CB562F">
        <w:rPr>
          <w:rFonts w:cstheme="minorHAnsi"/>
          <w:color w:val="000000" w:themeColor="text1"/>
        </w:rPr>
        <w:t>Task Force. Standards of heart rate variability. Circulation 1996; 93(5): 1043-1061.</w:t>
      </w:r>
    </w:p>
    <w:p w:rsidR="000850DB" w:rsidRPr="00CB562F" w:rsidRDefault="000850DB" w:rsidP="000850DB">
      <w:pPr>
        <w:pStyle w:val="NoSpacing"/>
        <w:numPr>
          <w:ilvl w:val="0"/>
          <w:numId w:val="20"/>
        </w:numPr>
        <w:ind w:left="284"/>
        <w:jc w:val="both"/>
        <w:rPr>
          <w:rFonts w:cstheme="minorHAnsi"/>
          <w:color w:val="000000" w:themeColor="text1"/>
        </w:rPr>
      </w:pPr>
      <w:r w:rsidRPr="00CB562F">
        <w:rPr>
          <w:rFonts w:cstheme="minorHAnsi"/>
          <w:color w:val="000000" w:themeColor="text1"/>
        </w:rPr>
        <w:t>Jindal GD, Ananthakrishnan TS, Kataria SK, Sadhana A. Mandlik, Kini AR. Electrical impedance and photo plethysmography for medical applications. BARC report 2004.</w:t>
      </w:r>
    </w:p>
    <w:p w:rsidR="000850DB" w:rsidRPr="00CB562F" w:rsidRDefault="000850DB" w:rsidP="000850DB">
      <w:pPr>
        <w:pStyle w:val="NoSpacing"/>
        <w:numPr>
          <w:ilvl w:val="0"/>
          <w:numId w:val="20"/>
        </w:numPr>
        <w:ind w:left="284"/>
        <w:jc w:val="both"/>
        <w:rPr>
          <w:rFonts w:cstheme="minorHAnsi"/>
          <w:color w:val="000000" w:themeColor="text1"/>
        </w:rPr>
      </w:pPr>
      <w:r w:rsidRPr="00CB562F">
        <w:rPr>
          <w:rFonts w:cstheme="minorHAnsi"/>
          <w:color w:val="000000" w:themeColor="text1"/>
        </w:rPr>
        <w:t>Park K. Hypertension. In: Park’s Text book of preventive and social medicine. 20</w:t>
      </w:r>
      <w:r w:rsidRPr="00CB562F">
        <w:rPr>
          <w:rFonts w:cstheme="minorHAnsi"/>
          <w:color w:val="000000" w:themeColor="text1"/>
          <w:vertAlign w:val="superscript"/>
        </w:rPr>
        <w:t>th</w:t>
      </w:r>
      <w:r w:rsidRPr="00CB562F">
        <w:rPr>
          <w:rFonts w:cstheme="minorHAnsi"/>
          <w:color w:val="000000" w:themeColor="text1"/>
        </w:rPr>
        <w:t xml:space="preserve"> ed. Jabalpur: Banarsidas Bhanot. 2009: 323-327.</w:t>
      </w:r>
    </w:p>
    <w:p w:rsidR="000850DB" w:rsidRPr="00CB562F" w:rsidRDefault="000850DB" w:rsidP="000850DB">
      <w:pPr>
        <w:pStyle w:val="NoSpacing"/>
        <w:numPr>
          <w:ilvl w:val="0"/>
          <w:numId w:val="20"/>
        </w:numPr>
        <w:ind w:left="284"/>
        <w:jc w:val="both"/>
        <w:rPr>
          <w:rFonts w:cstheme="minorHAnsi"/>
          <w:color w:val="000000" w:themeColor="text1"/>
        </w:rPr>
      </w:pPr>
      <w:r w:rsidRPr="00CB562F">
        <w:rPr>
          <w:rFonts w:cstheme="minorHAnsi"/>
          <w:color w:val="000000" w:themeColor="text1"/>
        </w:rPr>
        <w:t>Bianchi G, Gatti M, Ferrari P, Picatti GB, Colombo G, Velis O. Renal abnormality as a possible cause of essential hypertension. Lancet 1979; 1: 172-177.</w:t>
      </w:r>
    </w:p>
    <w:p w:rsidR="000850DB" w:rsidRPr="00CB562F" w:rsidRDefault="000850DB" w:rsidP="000850DB">
      <w:pPr>
        <w:pStyle w:val="NoSpacing"/>
        <w:numPr>
          <w:ilvl w:val="0"/>
          <w:numId w:val="20"/>
        </w:numPr>
        <w:ind w:left="284"/>
        <w:jc w:val="both"/>
        <w:rPr>
          <w:rFonts w:cstheme="minorHAnsi"/>
          <w:bCs/>
          <w:color w:val="000000" w:themeColor="text1"/>
        </w:rPr>
      </w:pPr>
      <w:r w:rsidRPr="00CB562F">
        <w:rPr>
          <w:rFonts w:cstheme="minorHAnsi"/>
          <w:iCs/>
          <w:color w:val="000000" w:themeColor="text1"/>
        </w:rPr>
        <w:t xml:space="preserve">Pichon A, Bisschop C, Diaz V, Denjean A. </w:t>
      </w:r>
      <w:r w:rsidRPr="00CB562F">
        <w:rPr>
          <w:rFonts w:cstheme="minorHAnsi"/>
          <w:bCs/>
          <w:color w:val="000000" w:themeColor="text1"/>
        </w:rPr>
        <w:t>Parasympathetic airway response and heart rate variability before and at the end of methacholine challenge. Chest 2005; 127: 23-29.</w:t>
      </w:r>
    </w:p>
    <w:p w:rsidR="000850DB" w:rsidRPr="00CB562F" w:rsidRDefault="000850DB" w:rsidP="000850DB">
      <w:pPr>
        <w:pStyle w:val="NoSpacing"/>
        <w:numPr>
          <w:ilvl w:val="0"/>
          <w:numId w:val="20"/>
        </w:numPr>
        <w:ind w:left="284"/>
        <w:jc w:val="both"/>
        <w:rPr>
          <w:rFonts w:cstheme="minorHAnsi"/>
          <w:color w:val="000000" w:themeColor="text1"/>
        </w:rPr>
      </w:pPr>
      <w:r w:rsidRPr="00CB562F">
        <w:rPr>
          <w:rFonts w:cstheme="minorHAnsi"/>
          <w:color w:val="000000" w:themeColor="text1"/>
        </w:rPr>
        <w:t>Barde PB, Jindal GD, Singh R, Deepak KK. New method of electrode placement for determination of cardiac output using impedance cardiography. Indian J Physiol Pharmacol 2006; 50 (3): 234-240.</w:t>
      </w:r>
    </w:p>
    <w:p w:rsidR="000850DB" w:rsidRPr="00CB562F" w:rsidRDefault="000850DB" w:rsidP="000850DB">
      <w:pPr>
        <w:pStyle w:val="NoSpacing"/>
        <w:numPr>
          <w:ilvl w:val="0"/>
          <w:numId w:val="20"/>
        </w:numPr>
        <w:ind w:left="284"/>
        <w:jc w:val="both"/>
        <w:rPr>
          <w:rFonts w:cstheme="minorHAnsi"/>
          <w:bCs/>
          <w:color w:val="000000" w:themeColor="text1"/>
        </w:rPr>
      </w:pPr>
      <w:r w:rsidRPr="00CB562F">
        <w:rPr>
          <w:rFonts w:cstheme="minorHAnsi"/>
          <w:bCs/>
          <w:color w:val="000000" w:themeColor="text1"/>
        </w:rPr>
        <w:t>Madanmohan, Prakash ES, Bhavanani AB. Correlation between short term heart rate variability indices and heart rate, blood pressure indices, pressure reactivity to isometric handgrip in healthy young male subjects. Indian J Physiol Pharmacol 2005; 49(2): 132-138.</w:t>
      </w:r>
    </w:p>
    <w:p w:rsidR="000850DB" w:rsidRPr="00CB562F" w:rsidRDefault="000850DB" w:rsidP="000850DB">
      <w:pPr>
        <w:pStyle w:val="NoSpacing"/>
        <w:numPr>
          <w:ilvl w:val="0"/>
          <w:numId w:val="20"/>
        </w:numPr>
        <w:ind w:left="284"/>
        <w:jc w:val="both"/>
        <w:rPr>
          <w:rFonts w:cstheme="minorHAnsi"/>
          <w:color w:val="000000" w:themeColor="text1"/>
        </w:rPr>
      </w:pPr>
      <w:r w:rsidRPr="00CB562F">
        <w:rPr>
          <w:rFonts w:cstheme="minorHAnsi"/>
          <w:color w:val="000000" w:themeColor="text1"/>
        </w:rPr>
        <w:t xml:space="preserve">Berniston GG, Bigger JT, Eckberg DL, Grossman P, Kauffman PG, Malik M, et al. Heart rate variability: Origins, methods and </w:t>
      </w:r>
      <w:r w:rsidRPr="00CB562F">
        <w:rPr>
          <w:rFonts w:cstheme="minorHAnsi"/>
          <w:color w:val="000000" w:themeColor="text1"/>
        </w:rPr>
        <w:lastRenderedPageBreak/>
        <w:t>interpretative caveats. Psychophysiology 1997; 34; 623-648.</w:t>
      </w:r>
    </w:p>
    <w:p w:rsidR="000850DB" w:rsidRPr="00CB562F" w:rsidRDefault="000850DB" w:rsidP="000850DB">
      <w:pPr>
        <w:pStyle w:val="NoSpacing"/>
        <w:numPr>
          <w:ilvl w:val="0"/>
          <w:numId w:val="20"/>
        </w:numPr>
        <w:ind w:left="284"/>
        <w:jc w:val="both"/>
        <w:rPr>
          <w:rFonts w:cstheme="minorHAnsi"/>
          <w:bCs/>
          <w:color w:val="000000" w:themeColor="text1"/>
        </w:rPr>
      </w:pPr>
      <w:r w:rsidRPr="00CB562F">
        <w:rPr>
          <w:rFonts w:cstheme="minorHAnsi"/>
          <w:bCs/>
          <w:color w:val="000000" w:themeColor="text1"/>
        </w:rPr>
        <w:t xml:space="preserve">Rossing M, Kieval RS, Irwin E, Pedersen BD, Bradinsky V. (WO/2007/136851) Applications of heart rate variability analysis in baroreflex activation therapy affecting autonomic nervous system response. Available from: http:// patentscope.wipo.int/WO2007136851. </w:t>
      </w:r>
    </w:p>
    <w:p w:rsidR="000850DB" w:rsidRPr="00CB562F" w:rsidRDefault="000850DB" w:rsidP="000850DB">
      <w:pPr>
        <w:pStyle w:val="NoSpacing"/>
        <w:numPr>
          <w:ilvl w:val="0"/>
          <w:numId w:val="20"/>
        </w:numPr>
        <w:ind w:left="284"/>
        <w:jc w:val="both"/>
        <w:rPr>
          <w:rFonts w:eastAsia="Calibri" w:cstheme="minorHAnsi"/>
          <w:color w:val="000000" w:themeColor="text1"/>
        </w:rPr>
      </w:pPr>
      <w:r w:rsidRPr="00CB562F">
        <w:rPr>
          <w:rFonts w:cstheme="minorHAnsi"/>
          <w:bCs/>
          <w:color w:val="000000" w:themeColor="text1"/>
          <w:lang w:val="it-IT"/>
        </w:rPr>
        <w:t>Sola J, Vette , Reneve P, Chetelat O, Sartori C, Rimoldi SF</w:t>
      </w:r>
      <w:r w:rsidRPr="00CB562F">
        <w:rPr>
          <w:rFonts w:cstheme="minorHAnsi"/>
          <w:color w:val="000000" w:themeColor="text1"/>
          <w:lang w:val="it-IT"/>
        </w:rPr>
        <w:t xml:space="preserve">. </w:t>
      </w:r>
      <w:r w:rsidRPr="00CB562F">
        <w:rPr>
          <w:rFonts w:cstheme="minorHAnsi"/>
          <w:bCs/>
          <w:color w:val="000000" w:themeColor="text1"/>
        </w:rPr>
        <w:t xml:space="preserve">Parametric estimation of pulse arrival time: a robust approach to pulse wave velocity. </w:t>
      </w:r>
      <w:r w:rsidRPr="00CB562F">
        <w:rPr>
          <w:rFonts w:cstheme="minorHAnsi"/>
          <w:color w:val="000000" w:themeColor="text1"/>
        </w:rPr>
        <w:t>Physiol. Meas.</w:t>
      </w:r>
      <w:r w:rsidRPr="00CB562F">
        <w:rPr>
          <w:rFonts w:cstheme="minorHAnsi"/>
          <w:bCs/>
          <w:color w:val="000000" w:themeColor="text1"/>
        </w:rPr>
        <w:t xml:space="preserve"> </w:t>
      </w:r>
      <w:r w:rsidRPr="00CB562F">
        <w:rPr>
          <w:rFonts w:cstheme="minorHAnsi"/>
          <w:color w:val="000000" w:themeColor="text1"/>
        </w:rPr>
        <w:t>(2009); 30: 603–615.</w:t>
      </w:r>
    </w:p>
    <w:p w:rsidR="000850DB" w:rsidRPr="00CB562F" w:rsidRDefault="000850DB" w:rsidP="000850DB">
      <w:pPr>
        <w:pStyle w:val="NoSpacing"/>
        <w:numPr>
          <w:ilvl w:val="0"/>
          <w:numId w:val="20"/>
        </w:numPr>
        <w:ind w:left="284"/>
        <w:jc w:val="both"/>
        <w:rPr>
          <w:rFonts w:cstheme="minorHAnsi"/>
          <w:color w:val="000000" w:themeColor="text1"/>
        </w:rPr>
      </w:pPr>
      <w:r w:rsidRPr="00CB562F">
        <w:rPr>
          <w:rFonts w:cstheme="minorHAnsi"/>
          <w:color w:val="000000" w:themeColor="text1"/>
        </w:rPr>
        <w:t>Sowmya R, Maruthy KN, Gupta R. Cardiovascular autonomic responses to whole body isotonic exercise in normotensive healthy young adult males with parental history of hypertension. Indian J Physiol Pharmacol 2009; 54(1): 37–44.</w:t>
      </w:r>
    </w:p>
    <w:p w:rsidR="000850DB" w:rsidRPr="00CB562F" w:rsidRDefault="000850DB" w:rsidP="000850DB">
      <w:pPr>
        <w:pStyle w:val="NoSpacing"/>
        <w:numPr>
          <w:ilvl w:val="0"/>
          <w:numId w:val="20"/>
        </w:numPr>
        <w:ind w:left="284"/>
        <w:jc w:val="both"/>
        <w:rPr>
          <w:rFonts w:cstheme="minorHAnsi"/>
          <w:bCs/>
          <w:color w:val="000000" w:themeColor="text1"/>
        </w:rPr>
      </w:pPr>
      <w:r w:rsidRPr="00CB562F">
        <w:rPr>
          <w:rFonts w:cstheme="minorHAnsi"/>
          <w:bCs/>
          <w:color w:val="000000" w:themeColor="text1"/>
        </w:rPr>
        <w:t xml:space="preserve">Piccirillo G, Viola E, Nocco M, Durente M, Tarantini S, Marigliano V. Autonomic modulation of heart rate and blood pressure in normotensive offspring of hypertensive </w:t>
      </w:r>
      <w:r w:rsidRPr="00CB562F">
        <w:rPr>
          <w:rFonts w:cstheme="minorHAnsi"/>
          <w:bCs/>
          <w:color w:val="000000" w:themeColor="text1"/>
        </w:rPr>
        <w:lastRenderedPageBreak/>
        <w:t>subjects. J Lad Clin Med 2000; 135(2): 145-152.</w:t>
      </w:r>
    </w:p>
    <w:p w:rsidR="000850DB" w:rsidRPr="00CB562F" w:rsidRDefault="000850DB" w:rsidP="000850DB">
      <w:pPr>
        <w:pStyle w:val="NoSpacing"/>
        <w:numPr>
          <w:ilvl w:val="0"/>
          <w:numId w:val="20"/>
        </w:numPr>
        <w:ind w:left="284"/>
        <w:jc w:val="both"/>
        <w:rPr>
          <w:rFonts w:cstheme="minorHAnsi"/>
          <w:color w:val="000000" w:themeColor="text1"/>
        </w:rPr>
      </w:pPr>
      <w:r w:rsidRPr="00CB562F">
        <w:rPr>
          <w:rFonts w:cstheme="minorHAnsi"/>
          <w:color w:val="000000" w:themeColor="text1"/>
        </w:rPr>
        <w:t>Maver J, Strucl M, Accetto R. Autonomic nervous system and microvascular alterations in normotensives with a family history of hypertension. Blood Press 2004; 13(2): 95-100.</w:t>
      </w:r>
    </w:p>
    <w:p w:rsidR="000850DB" w:rsidRPr="00CB562F" w:rsidRDefault="000850DB" w:rsidP="000850DB">
      <w:pPr>
        <w:pStyle w:val="NoSpacing"/>
        <w:numPr>
          <w:ilvl w:val="0"/>
          <w:numId w:val="20"/>
        </w:numPr>
        <w:ind w:left="284"/>
        <w:jc w:val="both"/>
        <w:rPr>
          <w:rFonts w:cstheme="minorHAnsi"/>
          <w:color w:val="000000" w:themeColor="text1"/>
        </w:rPr>
      </w:pPr>
      <w:r w:rsidRPr="00CB562F">
        <w:rPr>
          <w:rFonts w:cstheme="minorHAnsi"/>
          <w:color w:val="000000" w:themeColor="text1"/>
        </w:rPr>
        <w:t xml:space="preserve">Shang Wu J, Hwa Lu F, Yang YC, Sheng Lin T, Chen JJ, Hsing Wu C, et al. </w:t>
      </w:r>
      <w:r w:rsidRPr="00CB562F">
        <w:rPr>
          <w:rFonts w:cstheme="minorHAnsi"/>
          <w:bCs/>
          <w:color w:val="000000" w:themeColor="text1"/>
        </w:rPr>
        <w:t xml:space="preserve">Epidemiological study on the effect of pre-hypertension and family history of hypertension on cardiac autonomic function. </w:t>
      </w:r>
      <w:r w:rsidRPr="00CB562F">
        <w:rPr>
          <w:rFonts w:cstheme="minorHAnsi"/>
          <w:iCs/>
          <w:color w:val="000000" w:themeColor="text1"/>
        </w:rPr>
        <w:t xml:space="preserve">J Am Coll Cardiol </w:t>
      </w:r>
      <w:r w:rsidRPr="00CB562F">
        <w:rPr>
          <w:rFonts w:cstheme="minorHAnsi"/>
          <w:color w:val="000000" w:themeColor="text1"/>
        </w:rPr>
        <w:t>2008; 51: 1896-1901.</w:t>
      </w:r>
    </w:p>
    <w:p w:rsidR="000850DB" w:rsidRPr="00CB562F" w:rsidRDefault="000850DB" w:rsidP="000850DB">
      <w:pPr>
        <w:pStyle w:val="NoSpacing"/>
        <w:numPr>
          <w:ilvl w:val="0"/>
          <w:numId w:val="20"/>
        </w:numPr>
        <w:ind w:left="284"/>
        <w:jc w:val="both"/>
        <w:rPr>
          <w:rFonts w:cstheme="minorHAnsi"/>
          <w:color w:val="000000" w:themeColor="text1"/>
        </w:rPr>
      </w:pPr>
      <w:r w:rsidRPr="00CB562F">
        <w:rPr>
          <w:rFonts w:cstheme="minorHAnsi"/>
          <w:color w:val="000000" w:themeColor="text1"/>
        </w:rPr>
        <w:t>Pitzalis MV, Iacoviello M, Massari F, Guida P, Romito R, Forleo C, et al. Influence of gender and family history of hypertension on autonomic control of heart rate, diastolic function and brain natriuretic peptide. J  Hypertens 2001; 19: 143-148.</w:t>
      </w:r>
    </w:p>
    <w:p w:rsidR="000850DB" w:rsidRPr="00CB562F" w:rsidRDefault="000850DB" w:rsidP="000850DB">
      <w:pPr>
        <w:pStyle w:val="NoSpacing"/>
        <w:jc w:val="both"/>
        <w:rPr>
          <w:rFonts w:cstheme="minorHAnsi"/>
          <w:color w:val="000000" w:themeColor="text1"/>
        </w:rPr>
      </w:pPr>
    </w:p>
    <w:p w:rsidR="000850DB" w:rsidRPr="00CB562F" w:rsidRDefault="000850DB" w:rsidP="000850DB">
      <w:pPr>
        <w:pStyle w:val="NoSpacing"/>
        <w:jc w:val="both"/>
        <w:rPr>
          <w:rFonts w:cstheme="minorHAnsi"/>
          <w:b/>
          <w:color w:val="000000" w:themeColor="text1"/>
        </w:rPr>
      </w:pPr>
    </w:p>
    <w:p w:rsidR="000850DB" w:rsidRPr="00CB562F" w:rsidRDefault="000850DB" w:rsidP="000850DB">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0850DB" w:rsidRPr="00CB562F" w:rsidRDefault="000850DB" w:rsidP="000850DB">
      <w:pPr>
        <w:pStyle w:val="NoSpacing"/>
        <w:jc w:val="both"/>
        <w:rPr>
          <w:rStyle w:val="Strong"/>
          <w:rFonts w:cstheme="minorHAnsi"/>
          <w:color w:val="000000" w:themeColor="text1"/>
        </w:rPr>
        <w:sectPr w:rsidR="000850DB" w:rsidRPr="00CB562F" w:rsidSect="00F9738B">
          <w:type w:val="continuous"/>
          <w:pgSz w:w="11907" w:h="16839" w:code="9"/>
          <w:pgMar w:top="1440" w:right="864" w:bottom="864" w:left="1440" w:header="720" w:footer="144" w:gutter="0"/>
          <w:pgNumType w:start="58"/>
          <w:cols w:num="2" w:space="720"/>
          <w:docGrid w:linePitch="360"/>
        </w:sectPr>
      </w:pPr>
    </w:p>
    <w:p w:rsidR="000850DB" w:rsidRPr="00CB562F" w:rsidRDefault="000850DB" w:rsidP="000850DB">
      <w:pPr>
        <w:pStyle w:val="NoSpacing"/>
        <w:jc w:val="both"/>
        <w:rPr>
          <w:rStyle w:val="Strong"/>
          <w:rFonts w:cstheme="minorHAnsi"/>
          <w:color w:val="000000" w:themeColor="text1"/>
        </w:rPr>
      </w:pPr>
    </w:p>
    <w:p w:rsidR="000850DB" w:rsidRPr="00CB562F" w:rsidRDefault="000850DB" w:rsidP="000850DB">
      <w:pPr>
        <w:pStyle w:val="NoSpacing"/>
        <w:jc w:val="center"/>
        <w:rPr>
          <w:rFonts w:cstheme="minorHAnsi"/>
          <w:b/>
          <w:bCs/>
          <w:color w:val="000000" w:themeColor="text1"/>
          <w:sz w:val="28"/>
          <w:szCs w:val="28"/>
        </w:rPr>
      </w:pPr>
      <w:r w:rsidRPr="00CB562F">
        <w:rPr>
          <w:rFonts w:cstheme="minorHAnsi"/>
          <w:b/>
          <w:bCs/>
          <w:color w:val="000000" w:themeColor="text1"/>
          <w:sz w:val="28"/>
          <w:szCs w:val="28"/>
        </w:rPr>
        <w:t xml:space="preserve">      </w:t>
      </w:r>
    </w:p>
    <w:p w:rsidR="000850DB" w:rsidRPr="00CB562F" w:rsidRDefault="000850DB" w:rsidP="000850DB">
      <w:pPr>
        <w:pStyle w:val="NoSpacing"/>
        <w:jc w:val="center"/>
        <w:rPr>
          <w:rFonts w:cstheme="minorHAnsi"/>
          <w:b/>
          <w:bCs/>
          <w:color w:val="000000" w:themeColor="text1"/>
          <w:sz w:val="28"/>
          <w:szCs w:val="28"/>
        </w:rPr>
      </w:pPr>
    </w:p>
    <w:p w:rsidR="007812A0" w:rsidRPr="000850DB" w:rsidRDefault="007812A0" w:rsidP="000850DB"/>
    <w:sectPr w:rsidR="007812A0" w:rsidRPr="000850DB" w:rsidSect="006E2971">
      <w:headerReference w:type="default" r:id="rId11"/>
      <w:footerReference w:type="default" r:id="rId12"/>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D6F" w:rsidRDefault="00177D6F" w:rsidP="005C1565">
      <w:pPr>
        <w:spacing w:after="0" w:line="240" w:lineRule="auto"/>
      </w:pPr>
      <w:r>
        <w:separator/>
      </w:r>
    </w:p>
  </w:endnote>
  <w:endnote w:type="continuationSeparator" w:id="1">
    <w:p w:rsidR="00177D6F" w:rsidRDefault="00177D6F"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DB" w:rsidRDefault="000850DB">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0850DB">
        <w:rPr>
          <w:rFonts w:asciiTheme="majorHAnsi" w:hAnsiTheme="majorHAnsi"/>
          <w:noProof/>
        </w:rPr>
        <w:t>60</w:t>
      </w:r>
    </w:fldSimple>
  </w:p>
  <w:p w:rsidR="000850DB" w:rsidRPr="004B2AD6" w:rsidRDefault="000850DB" w:rsidP="003975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0850DB" w:rsidRPr="000850DB">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D6F" w:rsidRDefault="00177D6F" w:rsidP="005C1565">
      <w:pPr>
        <w:spacing w:after="0" w:line="240" w:lineRule="auto"/>
      </w:pPr>
      <w:r>
        <w:separator/>
      </w:r>
    </w:p>
  </w:footnote>
  <w:footnote w:type="continuationSeparator" w:id="1">
    <w:p w:rsidR="00177D6F" w:rsidRDefault="00177D6F"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09"/>
      <w:placeholder>
        <w:docPart w:val="889F566595BF4DB2A703142B14C0753F"/>
      </w:placeholder>
      <w:dataBinding w:prefixMappings="xmlns:ns0='http://schemas.openxmlformats.org/package/2006/metadata/core-properties' xmlns:ns1='http://purl.org/dc/elements/1.1/'" w:xpath="/ns0:coreProperties[1]/ns1:title[1]" w:storeItemID="{6C3C8BC8-F283-45AE-878A-BAB7291924A1}"/>
      <w:text/>
    </w:sdtPr>
    <w:sdtContent>
      <w:p w:rsidR="000850DB" w:rsidRPr="002C1F7B" w:rsidRDefault="000850DB"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0850DB" w:rsidRDefault="000850D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3E2F"/>
    <w:rsid w:val="000850DB"/>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77D6F"/>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3F6F0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81AAC"/>
    <w:rsid w:val="00E96686"/>
    <w:rsid w:val="00EC563B"/>
    <w:rsid w:val="00ED34A2"/>
    <w:rsid w:val="00F350A8"/>
    <w:rsid w:val="00F56DCA"/>
    <w:rsid w:val="00F64C95"/>
    <w:rsid w:val="00F701A5"/>
    <w:rsid w:val="00F847C8"/>
    <w:rsid w:val="00F91389"/>
    <w:rsid w:val="00F9738B"/>
    <w:rsid w:val="00FB0487"/>
    <w:rsid w:val="00FC5F63"/>
    <w:rsid w:val="00FC695E"/>
    <w:rsid w:val="00FE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0DB"/>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ertimathur@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9F566595BF4DB2A703142B14C0753F"/>
        <w:category>
          <w:name w:val="General"/>
          <w:gallery w:val="placeholder"/>
        </w:category>
        <w:types>
          <w:type w:val="bbPlcHdr"/>
        </w:types>
        <w:behaviors>
          <w:behavior w:val="content"/>
        </w:behaviors>
        <w:guid w:val="{06FD91E4-A1CA-4778-BB2C-573E8BFF51BB}"/>
      </w:docPartPr>
      <w:docPartBody>
        <w:p w:rsidR="00000000" w:rsidRDefault="0083328E" w:rsidP="0083328E">
          <w:pPr>
            <w:pStyle w:val="889F566595BF4DB2A703142B14C0753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2017-11-06T07:44:00Z</dcterms:created>
  <dcterms:modified xsi:type="dcterms:W3CDTF">2017-11-06T07:44:00Z</dcterms:modified>
</cp:coreProperties>
</file>