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90A" w:rsidRPr="00CB562F" w:rsidRDefault="00D5390A" w:rsidP="00D5390A">
      <w:pPr>
        <w:pStyle w:val="NoSpacing"/>
        <w:jc w:val="center"/>
        <w:rPr>
          <w:rFonts w:cstheme="minorHAnsi"/>
          <w:b/>
          <w:bCs/>
          <w:color w:val="000000" w:themeColor="text1"/>
          <w:sz w:val="28"/>
          <w:szCs w:val="28"/>
        </w:rPr>
      </w:pPr>
      <w:r w:rsidRPr="00CB562F">
        <w:rPr>
          <w:rFonts w:cstheme="minorHAnsi"/>
          <w:b/>
          <w:bCs/>
          <w:color w:val="000000" w:themeColor="text1"/>
          <w:sz w:val="28"/>
          <w:szCs w:val="28"/>
        </w:rPr>
        <w:t>Assessment of Ankle Brachial Index in Diabetic patients in Urban area of West India.</w:t>
      </w:r>
    </w:p>
    <w:p w:rsidR="00D5390A" w:rsidRPr="00CB562F" w:rsidRDefault="00D5390A" w:rsidP="00D5390A">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 xml:space="preserve">J D Solanki**, A H Makwana*,   H B Mehta*****, P A Gokhle****, </w:t>
      </w:r>
    </w:p>
    <w:p w:rsidR="00D5390A" w:rsidRPr="00CB562F" w:rsidRDefault="00D5390A" w:rsidP="00D5390A">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 xml:space="preserve"> C J Shah***, P B Hathila*</w:t>
      </w:r>
    </w:p>
    <w:p w:rsidR="00D5390A" w:rsidRPr="00CB562F" w:rsidRDefault="00D5390A" w:rsidP="00D5390A">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*First Year Resident Doctor, **Assistant Professor, ***Associate Professor, ****Additional Professor, *****Professor and Head,</w:t>
      </w:r>
    </w:p>
    <w:p w:rsidR="00D5390A" w:rsidRPr="00CB562F" w:rsidRDefault="00D5390A" w:rsidP="00D5390A">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Department of physiology, Government Medical College, BHAVNAGAR</w:t>
      </w:r>
    </w:p>
    <w:p w:rsidR="00D5390A" w:rsidRPr="00CB562F" w:rsidRDefault="00D5390A" w:rsidP="00D5390A">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&amp; Objectives:-</w:t>
      </w:r>
      <w:r w:rsidRPr="00CB562F">
        <w:rPr>
          <w:rFonts w:cstheme="minorHAnsi"/>
          <w:color w:val="000000" w:themeColor="text1"/>
        </w:rPr>
        <w:t xml:space="preserve">Peripheral Artery Disease (PAD) is a manifestation of Diabetes Mellitus that is asymptomatic to begin with. There is always a need of cost effective non-invasive technique to quantify this problem. The aim of the study was to determine its prevalence in diabetics of this region by a cross sectional study using Ankle Brachial Index (ABI) as a non-invasive tool. </w:t>
      </w:r>
      <w:r w:rsidRPr="00CB562F">
        <w:rPr>
          <w:rFonts w:cstheme="minorHAnsi"/>
          <w:b/>
          <w:bCs/>
          <w:color w:val="000000" w:themeColor="text1"/>
        </w:rPr>
        <w:t>Method:-</w:t>
      </w:r>
      <w:r w:rsidRPr="00CB562F">
        <w:rPr>
          <w:rFonts w:cstheme="minorHAnsi"/>
          <w:color w:val="000000" w:themeColor="text1"/>
        </w:rPr>
        <w:t xml:space="preserve">110 diabetic patients of either sex presenting to medicine OPD were evaluated subjectively by questionnaires .Vascular Doppler was used to derive ratio of ankle pressure to brachial pressure (ABI) using standard protocol.ABI&lt;0.9 was defined as PAD. </w:t>
      </w:r>
      <w:r w:rsidRPr="00CB562F">
        <w:rPr>
          <w:rFonts w:cstheme="minorHAnsi"/>
          <w:b/>
          <w:bCs/>
          <w:color w:val="000000" w:themeColor="text1"/>
        </w:rPr>
        <w:t>Results:</w:t>
      </w:r>
      <w:r w:rsidRPr="00CB562F">
        <w:rPr>
          <w:rFonts w:cstheme="minorHAnsi"/>
          <w:color w:val="000000" w:themeColor="text1"/>
        </w:rPr>
        <w:t xml:space="preserve"> - Result revealed 46% prevalence of symptoms for PAD in study group. Low ABI prevailed in 35% of subjects more so in females (39 %) than males (31 %), more in symptomatic (55 %) subjects than asymptomatic (17 %) and further lowering of ABI with increasing duration of disease. Interpretation &amp; </w:t>
      </w:r>
      <w:r w:rsidRPr="00CB562F">
        <w:rPr>
          <w:rFonts w:cstheme="minorHAnsi"/>
          <w:b/>
          <w:bCs/>
          <w:color w:val="000000" w:themeColor="text1"/>
        </w:rPr>
        <w:t>Conclusion:-</w:t>
      </w:r>
      <w:r w:rsidRPr="00CB562F">
        <w:rPr>
          <w:rFonts w:cstheme="minorHAnsi"/>
          <w:color w:val="000000" w:themeColor="text1"/>
        </w:rPr>
        <w:t>This study showed high prevalence of PAD in our region in diabetics with female disadvantage, positive correlation with presence of PAD symptom and cumulative effect of disease. It proved ABI as a non-invasive and reliable screening tool for PAD in our region requiring further larger study for its consolidation.</w:t>
      </w:r>
    </w:p>
    <w:p w:rsidR="00D5390A" w:rsidRPr="00CB562F" w:rsidRDefault="00D5390A" w:rsidP="00D5390A">
      <w:pPr>
        <w:pStyle w:val="NoSpacing"/>
        <w:jc w:val="both"/>
        <w:rPr>
          <w:rFonts w:cstheme="minorHAnsi"/>
          <w:color w:val="000000" w:themeColor="text1"/>
        </w:rPr>
      </w:pPr>
      <w:r w:rsidRPr="00CB562F">
        <w:rPr>
          <w:rFonts w:cstheme="minorHAnsi"/>
          <w:b/>
          <w:bCs/>
          <w:color w:val="000000" w:themeColor="text1"/>
        </w:rPr>
        <w:t>Key Words:-</w:t>
      </w:r>
      <w:r w:rsidRPr="00CB562F">
        <w:rPr>
          <w:rFonts w:cstheme="minorHAnsi"/>
          <w:color w:val="000000" w:themeColor="text1"/>
        </w:rPr>
        <w:t>Ankle brachial index, diabetes mellitus, non-invasive, peripheral artery disease.</w:t>
      </w:r>
    </w:p>
    <w:p w:rsidR="00D5390A" w:rsidRPr="00CB562F" w:rsidRDefault="00D5390A" w:rsidP="00D5390A">
      <w:pPr>
        <w:pStyle w:val="NoSpacing"/>
        <w:pBdr>
          <w:top w:val="single" w:sz="12" w:space="1" w:color="auto"/>
          <w:bottom w:val="single" w:sz="12" w:space="1" w:color="auto"/>
        </w:pBdr>
        <w:jc w:val="both"/>
        <w:rPr>
          <w:rFonts w:cstheme="minorHAnsi"/>
          <w:color w:val="000000" w:themeColor="text1"/>
          <w:sz w:val="18"/>
          <w:szCs w:val="18"/>
        </w:rPr>
        <w:sectPr w:rsidR="00D5390A" w:rsidRPr="00CB562F" w:rsidSect="00334681">
          <w:type w:val="continuous"/>
          <w:pgSz w:w="11907" w:h="16839" w:code="9"/>
          <w:pgMar w:top="1440" w:right="864" w:bottom="864" w:left="1440" w:header="720" w:footer="144" w:gutter="0"/>
          <w:pgNumType w:start="113"/>
          <w:cols w:space="720"/>
          <w:docGrid w:linePitch="360"/>
        </w:sectPr>
      </w:pPr>
      <w:r w:rsidRPr="00CB562F">
        <w:rPr>
          <w:rFonts w:cstheme="minorHAnsi"/>
          <w:b/>
          <w:color w:val="000000" w:themeColor="text1"/>
        </w:rPr>
        <w:t>Author for correspondence:</w:t>
      </w:r>
      <w:r w:rsidRPr="00CB562F">
        <w:rPr>
          <w:rFonts w:cstheme="minorHAnsi"/>
          <w:color w:val="000000" w:themeColor="text1"/>
        </w:rPr>
        <w:t xml:space="preserve">  Jayesh D. Solanki, Assistant Professor in Physiology, Govt. Medical College, Bhavnagar,Gujrat,India.EmailID:-drjaymin_83@yahoo.com</w:t>
      </w:r>
    </w:p>
    <w:p w:rsidR="00D5390A" w:rsidRPr="00CB562F" w:rsidRDefault="00D5390A" w:rsidP="00D5390A">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Type 2 Diabetes Mellitus is prevailing with increasing trend around the world</w:t>
      </w:r>
      <w:r w:rsidRPr="00CB562F">
        <w:rPr>
          <w:rFonts w:cstheme="minorHAnsi"/>
          <w:color w:val="000000" w:themeColor="text1"/>
          <w:vertAlign w:val="superscript"/>
        </w:rPr>
        <w:t>1</w:t>
      </w:r>
      <w:r w:rsidRPr="00CB562F">
        <w:rPr>
          <w:rFonts w:cstheme="minorHAnsi"/>
          <w:color w:val="000000" w:themeColor="text1"/>
        </w:rPr>
        <w:t xml:space="preserve"> and more so in developing countries like India owing to rapid urbanisation.</w:t>
      </w:r>
      <w:r w:rsidRPr="00CB562F">
        <w:rPr>
          <w:rFonts w:cstheme="minorHAnsi"/>
          <w:color w:val="000000" w:themeColor="text1"/>
          <w:vertAlign w:val="superscript"/>
        </w:rPr>
        <w:t xml:space="preserve">2,3 </w:t>
      </w:r>
      <w:r w:rsidRPr="00CB562F">
        <w:rPr>
          <w:rFonts w:cstheme="minorHAnsi"/>
          <w:color w:val="000000" w:themeColor="text1"/>
        </w:rPr>
        <w:t>PAD (Peripheral Artery Disease) is one of the rapidly progressing and diffuse complication of this disease</w:t>
      </w:r>
      <w:r w:rsidRPr="00CB562F">
        <w:rPr>
          <w:rFonts w:cstheme="minorHAnsi"/>
          <w:color w:val="000000" w:themeColor="text1"/>
          <w:vertAlign w:val="superscript"/>
        </w:rPr>
        <w:t>4</w:t>
      </w:r>
      <w:r w:rsidRPr="00CB562F">
        <w:rPr>
          <w:rFonts w:cstheme="minorHAnsi"/>
          <w:color w:val="000000" w:themeColor="text1"/>
        </w:rPr>
        <w:t xml:space="preserve"> imposing risk of foot ulcer</w:t>
      </w:r>
      <w:r w:rsidRPr="00CB562F">
        <w:rPr>
          <w:rFonts w:cstheme="minorHAnsi"/>
          <w:color w:val="000000" w:themeColor="text1"/>
          <w:vertAlign w:val="superscript"/>
        </w:rPr>
        <w:t>5</w:t>
      </w:r>
      <w:r w:rsidRPr="00CB562F">
        <w:rPr>
          <w:rFonts w:cstheme="minorHAnsi"/>
          <w:color w:val="000000" w:themeColor="text1"/>
        </w:rPr>
        <w:t>, foot infection</w:t>
      </w:r>
      <w:r w:rsidRPr="00CB562F">
        <w:rPr>
          <w:rFonts w:cstheme="minorHAnsi"/>
          <w:color w:val="000000" w:themeColor="text1"/>
          <w:vertAlign w:val="superscript"/>
        </w:rPr>
        <w:t>6</w:t>
      </w:r>
      <w:r w:rsidRPr="00CB562F">
        <w:rPr>
          <w:rFonts w:cstheme="minorHAnsi"/>
          <w:color w:val="000000" w:themeColor="text1"/>
        </w:rPr>
        <w:t>, fatal myocardial infarction</w:t>
      </w:r>
      <w:r w:rsidRPr="00CB562F">
        <w:rPr>
          <w:rFonts w:cstheme="minorHAnsi"/>
          <w:color w:val="000000" w:themeColor="text1"/>
          <w:vertAlign w:val="superscript"/>
        </w:rPr>
        <w:t>7</w:t>
      </w:r>
      <w:r w:rsidRPr="00CB562F">
        <w:rPr>
          <w:rFonts w:cstheme="minorHAnsi"/>
          <w:color w:val="000000" w:themeColor="text1"/>
        </w:rPr>
        <w:t xml:space="preserve"> that can lead to limb amputation</w:t>
      </w:r>
      <w:r w:rsidRPr="00CB562F">
        <w:rPr>
          <w:rFonts w:cstheme="minorHAnsi"/>
          <w:color w:val="000000" w:themeColor="text1"/>
          <w:vertAlign w:val="superscript"/>
        </w:rPr>
        <w:t>8</w:t>
      </w:r>
      <w:r w:rsidRPr="00CB562F">
        <w:rPr>
          <w:rFonts w:cstheme="minorHAnsi"/>
          <w:color w:val="000000" w:themeColor="text1"/>
        </w:rPr>
        <w:t xml:space="preserve"> and increase mortality due to Cardiovascular diseases.</w:t>
      </w:r>
      <w:r w:rsidRPr="00CB562F">
        <w:rPr>
          <w:rFonts w:cstheme="minorHAnsi"/>
          <w:color w:val="000000" w:themeColor="text1"/>
          <w:vertAlign w:val="superscript"/>
        </w:rPr>
        <w:t>9,10</w:t>
      </w:r>
      <w:r w:rsidRPr="00CB562F">
        <w:rPr>
          <w:rFonts w:cstheme="minorHAnsi"/>
          <w:color w:val="000000" w:themeColor="text1"/>
        </w:rPr>
        <w:t xml:space="preserve"> It is however difficult to diagnose PAD amongst diabetic patients without proper screening due to sensory neuropathy delaying clinical manifestation of symptoms of disease. Ankle Brachial Index (ABI) is a ratio of Systolic blood pressure at ankle and in the arm.</w:t>
      </w:r>
      <w:r w:rsidRPr="00CB562F">
        <w:rPr>
          <w:rFonts w:cstheme="minorHAnsi"/>
          <w:color w:val="000000" w:themeColor="text1"/>
          <w:vertAlign w:val="superscript"/>
        </w:rPr>
        <w:t>11</w:t>
      </w:r>
      <w:r w:rsidRPr="00CB562F">
        <w:rPr>
          <w:rFonts w:cstheme="minorHAnsi"/>
          <w:color w:val="000000" w:themeColor="text1"/>
        </w:rPr>
        <w:t>ABI measurement provides a simple, repeatable, non-invasive, effective tool to access vascular status in diabetics with high sensitivity and specificity.</w:t>
      </w:r>
      <w:r w:rsidRPr="00CB562F">
        <w:rPr>
          <w:rFonts w:cstheme="minorHAnsi"/>
          <w:color w:val="000000" w:themeColor="text1"/>
          <w:vertAlign w:val="superscript"/>
        </w:rPr>
        <w:t>12, 13</w:t>
      </w:r>
      <w:r w:rsidRPr="00CB562F">
        <w:rPr>
          <w:rFonts w:cstheme="minorHAnsi"/>
          <w:color w:val="000000" w:themeColor="text1"/>
        </w:rPr>
        <w:t xml:space="preserve"> Many studies have been commenced for establishing ABI as a reliable investigation at primary care level in western countries and in other Asian countries with few such studies reported in India and perhaps none in Bhavnagar, Gujarat. Present research work aimed to quantify the burden of PAD in outdoor diabetic patients of this region.</w:t>
      </w:r>
    </w:p>
    <w:p w:rsidR="00D5390A" w:rsidRPr="00CB562F" w:rsidRDefault="00D5390A" w:rsidP="00D5390A">
      <w:pPr>
        <w:pStyle w:val="NoSpacing"/>
        <w:jc w:val="both"/>
        <w:rPr>
          <w:rFonts w:cstheme="minorHAnsi"/>
          <w:b/>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b/>
          <w:color w:val="000000" w:themeColor="text1"/>
        </w:rPr>
        <w:t xml:space="preserve">Material and Method: </w:t>
      </w:r>
      <w:r w:rsidRPr="00CB562F">
        <w:rPr>
          <w:rFonts w:cstheme="minorHAnsi"/>
          <w:color w:val="000000" w:themeColor="text1"/>
        </w:rPr>
        <w:t>Study Design: This observational horizontal study was carried out from 15 September to 5 November 2012 on previously diagnosed Diabetic patient over 18 years of age of both sexes. After taking approval from Institutional Review Board, sample size was calculated by sample size calculator software Raosoft keeping confidence level 99% and margin of error 5% for population of Bhavnagar city. Subjects were recruited from Diabetic camp and OPD of private clinics, Medicine OPD of Sir T Hospital and Diabetic Clinic of Urban Health Training Centre (UHTC) so as to have a blend of patients coming from various socio economic statuses that formed a fairly representive sample of this region. Subjects taking irregular treatment, newly diagnosed, having previous vascular intervention, having amputed limb were excluded from study.</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Base line data collection: All invited subjects were interviewed face to face by pre designed pre validated questionnaires that included demographic characteristics, medical history, risk factor assessment, symptomatic evaluation for PAD, investigations related to blood sugar whatever been available which was entered on ABI worksheet.</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 xml:space="preserve">ABI measurement: ABI was measured in supine position using  principle of Doppler effect by portable instrument VERSADOP ( table top vascular Doppler with 8 MHz of Diabetik Foot Care India </w:t>
      </w:r>
      <w:r w:rsidRPr="00CB562F">
        <w:rPr>
          <w:rFonts w:cstheme="minorHAnsi"/>
          <w:color w:val="000000" w:themeColor="text1"/>
        </w:rPr>
        <w:lastRenderedPageBreak/>
        <w:t>Limited, Chennai , India) having 12 cm occluding cuff. ABPI was derived by dividing the higher reading of the ankle pressure at dorsalis pedis artery by brachial pressure of same side.</w:t>
      </w:r>
      <w:r w:rsidRPr="00CB562F">
        <w:rPr>
          <w:rFonts w:cstheme="minorHAnsi"/>
          <w:color w:val="000000" w:themeColor="text1"/>
          <w:vertAlign w:val="superscript"/>
        </w:rPr>
        <w:t>14</w:t>
      </w:r>
      <w:r w:rsidRPr="00CB562F">
        <w:rPr>
          <w:rFonts w:cstheme="minorHAnsi"/>
          <w:color w:val="000000" w:themeColor="text1"/>
        </w:rPr>
        <w:t>ABI &gt; 0.9 was considered as normal and ABI  &lt; 0.9 was defined as PAD.</w:t>
      </w:r>
      <w:r w:rsidRPr="00CB562F">
        <w:rPr>
          <w:rFonts w:cstheme="minorHAnsi"/>
          <w:color w:val="000000" w:themeColor="text1"/>
          <w:vertAlign w:val="superscript"/>
        </w:rPr>
        <w:t>15</w:t>
      </w:r>
      <w:r w:rsidRPr="00CB562F">
        <w:rPr>
          <w:rFonts w:cstheme="minorHAnsi"/>
          <w:color w:val="000000" w:themeColor="text1"/>
        </w:rPr>
        <w:t>ABPI &gt;1.3 is indicative of incompressible arteries due to atherosclerosis.</w:t>
      </w:r>
      <w:r w:rsidRPr="00CB562F">
        <w:rPr>
          <w:rFonts w:cstheme="minorHAnsi"/>
          <w:color w:val="000000" w:themeColor="text1"/>
          <w:vertAlign w:val="superscript"/>
        </w:rPr>
        <w:t>16</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Statistical Analysis: The data was transferred on Excel spreadsheet and descriptive analysis was expressed as mean ± standard deviation. All calculations were accomplished by using GraphPad InStat3 software. The comparison of mean differences was done by student’s t test. Difference was considered statistically significant with P value &lt;0.05.</w:t>
      </w:r>
    </w:p>
    <w:p w:rsidR="00D5390A" w:rsidRPr="00CB562F" w:rsidRDefault="00D5390A" w:rsidP="00D5390A">
      <w:pPr>
        <w:pStyle w:val="NoSpacing"/>
        <w:jc w:val="both"/>
        <w:rPr>
          <w:rFonts w:cstheme="minorHAnsi"/>
          <w:b/>
          <w:color w:val="000000" w:themeColor="text1"/>
        </w:rPr>
      </w:pPr>
    </w:p>
    <w:p w:rsidR="00D5390A" w:rsidRPr="00CB562F" w:rsidRDefault="00D5390A" w:rsidP="00D5390A">
      <w:pPr>
        <w:pStyle w:val="NoSpacing"/>
        <w:jc w:val="both"/>
        <w:rPr>
          <w:rFonts w:cstheme="minorHAnsi"/>
          <w:bCs/>
          <w:color w:val="000000" w:themeColor="text1"/>
        </w:rPr>
      </w:pPr>
      <w:r w:rsidRPr="00CB562F">
        <w:rPr>
          <w:rFonts w:cstheme="minorHAnsi"/>
          <w:b/>
          <w:color w:val="000000" w:themeColor="text1"/>
        </w:rPr>
        <w:t xml:space="preserve">Results: </w:t>
      </w:r>
      <w:r w:rsidRPr="00CB562F">
        <w:rPr>
          <w:rFonts w:cstheme="minorHAnsi"/>
          <w:bCs/>
          <w:color w:val="000000" w:themeColor="text1"/>
        </w:rPr>
        <w:t>Present study tested Ankle Brachial Index of patients of either sex already diagnosed to have Diabetes Mellitus attending Medicine OPDs of and urban area. It was further evaluated by dividing them into groups based on gender, duration of disease and presence of PAD symptom.</w:t>
      </w:r>
    </w:p>
    <w:p w:rsidR="00D5390A" w:rsidRPr="00CB562F" w:rsidRDefault="00D5390A" w:rsidP="00D5390A">
      <w:pPr>
        <w:pStyle w:val="NoSpacing"/>
        <w:jc w:val="both"/>
        <w:rPr>
          <w:rFonts w:cstheme="minorHAnsi"/>
          <w:bCs/>
          <w:color w:val="000000" w:themeColor="text1"/>
        </w:rPr>
      </w:pPr>
    </w:p>
    <w:p w:rsidR="00D5390A" w:rsidRPr="00CB562F" w:rsidRDefault="00D5390A" w:rsidP="00D5390A">
      <w:pPr>
        <w:pStyle w:val="NoSpacing"/>
        <w:jc w:val="both"/>
        <w:rPr>
          <w:rFonts w:cstheme="minorHAnsi"/>
          <w:b/>
          <w:color w:val="000000" w:themeColor="text1"/>
        </w:rPr>
      </w:pPr>
      <w:r w:rsidRPr="00CB562F">
        <w:rPr>
          <w:rFonts w:cstheme="minorHAnsi"/>
          <w:b/>
          <w:color w:val="000000" w:themeColor="text1"/>
        </w:rPr>
        <w:t>Table 1 Baseline data of study group (mean ±SD)</w:t>
      </w:r>
    </w:p>
    <w:tbl>
      <w:tblPr>
        <w:tblStyle w:val="TableGrid"/>
        <w:tblW w:w="0" w:type="auto"/>
        <w:tblLook w:val="04A0"/>
      </w:tblPr>
      <w:tblGrid>
        <w:gridCol w:w="2328"/>
        <w:gridCol w:w="2329"/>
      </w:tblGrid>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Age(years)</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54.72 ±10.68</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Sex distribution</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Male = 48 Females=62 (Total 110)</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Height(centimetre)</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158.44 ±8.54</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Weight(kilogram)</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65.50± 11.47</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BMI(kg/m</w:t>
            </w:r>
            <w:r w:rsidRPr="00CB562F">
              <w:rPr>
                <w:rFonts w:cstheme="minorHAnsi"/>
                <w:b/>
                <w:color w:val="000000" w:themeColor="text1"/>
                <w:vertAlign w:val="superscript"/>
              </w:rPr>
              <w:t xml:space="preserve">2 </w:t>
            </w:r>
            <w:r w:rsidRPr="00CB562F">
              <w:rPr>
                <w:rFonts w:cstheme="minorHAnsi"/>
                <w:b/>
                <w:color w:val="000000" w:themeColor="text1"/>
              </w:rPr>
              <w:t>)</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26.41± 4.78</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Presence of PVD symptom</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51 out of 110(46%)</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Mean FBS (mg %)</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167.85 ±11.33</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Mean PP2BS (mg%)</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224.26± 91.20</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Mean Hb1Ac (gm %)</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6.87±2.22</w:t>
            </w:r>
          </w:p>
        </w:tc>
      </w:tr>
      <w:tr w:rsidR="00D5390A" w:rsidRPr="00CB562F" w:rsidTr="004F39E6">
        <w:tc>
          <w:tcPr>
            <w:tcW w:w="2328"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b/>
                <w:color w:val="000000" w:themeColor="text1"/>
              </w:rPr>
            </w:pPr>
            <w:r w:rsidRPr="00CB562F">
              <w:rPr>
                <w:rFonts w:cstheme="minorHAnsi"/>
                <w:b/>
                <w:color w:val="000000" w:themeColor="text1"/>
              </w:rPr>
              <w:t>Duration of Diabetes(years)</w:t>
            </w:r>
          </w:p>
        </w:tc>
        <w:tc>
          <w:tcPr>
            <w:tcW w:w="2329" w:type="dxa"/>
          </w:tcPr>
          <w:p w:rsidR="00D5390A" w:rsidRPr="00CB562F" w:rsidRDefault="00D5390A" w:rsidP="004F39E6">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rPr>
            </w:pPr>
            <w:r w:rsidRPr="00CB562F">
              <w:rPr>
                <w:rFonts w:cstheme="minorHAnsi"/>
                <w:color w:val="000000" w:themeColor="text1"/>
              </w:rPr>
              <w:t>6.28± 1.8</w:t>
            </w:r>
          </w:p>
        </w:tc>
      </w:tr>
    </w:tbl>
    <w:p w:rsidR="00D5390A" w:rsidRPr="00CB562F" w:rsidRDefault="00D5390A" w:rsidP="00D5390A">
      <w:pPr>
        <w:pStyle w:val="NoSpacing"/>
        <w:jc w:val="both"/>
        <w:rPr>
          <w:rFonts w:cstheme="minorHAnsi"/>
          <w:bCs/>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Table 1 shows baseline information about study group with noticeable fact being more females than males and high mean values of BMI, FBS, PP2BS, Hb1Ac and strikingly high prevalence of symptom of PAD.</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b/>
          <w:color w:val="000000" w:themeColor="text1"/>
        </w:rPr>
      </w:pPr>
      <w:r w:rsidRPr="00CB562F">
        <w:rPr>
          <w:rFonts w:cstheme="minorHAnsi"/>
          <w:b/>
          <w:color w:val="000000" w:themeColor="text1"/>
        </w:rPr>
        <w:t>Table 2 Effect of gender on ABI (mean ±SD)</w:t>
      </w:r>
    </w:p>
    <w:tbl>
      <w:tblPr>
        <w:tblStyle w:val="TableGrid"/>
        <w:tblW w:w="0" w:type="auto"/>
        <w:tblLook w:val="04A0"/>
      </w:tblPr>
      <w:tblGrid>
        <w:gridCol w:w="916"/>
        <w:gridCol w:w="1003"/>
        <w:gridCol w:w="1003"/>
        <w:gridCol w:w="1206"/>
        <w:gridCol w:w="1296"/>
      </w:tblGrid>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Group</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 &lt;0.9</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 &gt;0.9</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P value</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Statistical</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Significance</w:t>
            </w:r>
          </w:p>
        </w:tc>
      </w:tr>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Male</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(n=48)</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15 (31%)</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33 (69%)</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1.01± 0.22</w:t>
            </w:r>
          </w:p>
        </w:tc>
        <w:tc>
          <w:tcPr>
            <w:tcW w:w="0" w:type="auto"/>
            <w:vMerge w:val="restart"/>
          </w:tcPr>
          <w:p w:rsidR="00D5390A" w:rsidRPr="00CB562F" w:rsidRDefault="00D5390A" w:rsidP="004F39E6">
            <w:pPr>
              <w:pStyle w:val="NoSpacing"/>
              <w:jc w:val="both"/>
              <w:rPr>
                <w:rFonts w:cstheme="minorHAnsi"/>
                <w:color w:val="000000" w:themeColor="text1"/>
              </w:rPr>
            </w:pP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P =0.04</w:t>
            </w: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Statistically</w:t>
            </w: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significant</w:t>
            </w:r>
          </w:p>
        </w:tc>
      </w:tr>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Female</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(n=62)</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24 (39%)</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38 (61%)</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0.94 ± 0.16</w:t>
            </w:r>
          </w:p>
        </w:tc>
        <w:tc>
          <w:tcPr>
            <w:tcW w:w="0" w:type="auto"/>
            <w:vMerge/>
          </w:tcPr>
          <w:p w:rsidR="00D5390A" w:rsidRPr="00CB562F" w:rsidRDefault="00D5390A" w:rsidP="004F39E6">
            <w:pPr>
              <w:pStyle w:val="NoSpacing"/>
              <w:jc w:val="both"/>
              <w:rPr>
                <w:rFonts w:cstheme="minorHAnsi"/>
                <w:color w:val="000000" w:themeColor="text1"/>
              </w:rPr>
            </w:pPr>
          </w:p>
        </w:tc>
      </w:tr>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Total</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(n=110)</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39 (35%)</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71 (65%)</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0.99± 0.19</w:t>
            </w:r>
          </w:p>
        </w:tc>
        <w:tc>
          <w:tcPr>
            <w:tcW w:w="0" w:type="auto"/>
            <w:vMerge/>
          </w:tcPr>
          <w:p w:rsidR="00D5390A" w:rsidRPr="00CB562F" w:rsidRDefault="00D5390A" w:rsidP="004F39E6">
            <w:pPr>
              <w:pStyle w:val="NoSpacing"/>
              <w:jc w:val="both"/>
              <w:rPr>
                <w:rFonts w:cstheme="minorHAnsi"/>
                <w:color w:val="000000" w:themeColor="text1"/>
              </w:rPr>
            </w:pPr>
          </w:p>
        </w:tc>
      </w:tr>
    </w:tbl>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Table 2 shows High percentage of low ABI profile in females than males.</w:t>
      </w:r>
    </w:p>
    <w:p w:rsidR="00D5390A" w:rsidRPr="00CB562F" w:rsidRDefault="00D5390A" w:rsidP="00D5390A">
      <w:pPr>
        <w:pStyle w:val="NoSpacing"/>
        <w:jc w:val="both"/>
        <w:rPr>
          <w:rFonts w:cstheme="minorHAnsi"/>
          <w:b/>
          <w:color w:val="000000" w:themeColor="text1"/>
        </w:rPr>
      </w:pPr>
    </w:p>
    <w:p w:rsidR="00D5390A" w:rsidRPr="00CB562F" w:rsidRDefault="00D5390A" w:rsidP="00D5390A">
      <w:pPr>
        <w:pStyle w:val="NoSpacing"/>
        <w:jc w:val="both"/>
        <w:rPr>
          <w:rFonts w:cstheme="minorHAnsi"/>
          <w:b/>
          <w:color w:val="000000" w:themeColor="text1"/>
        </w:rPr>
      </w:pPr>
      <w:r w:rsidRPr="00CB562F">
        <w:rPr>
          <w:rFonts w:cstheme="minorHAnsi"/>
          <w:b/>
          <w:color w:val="000000" w:themeColor="text1"/>
        </w:rPr>
        <w:t>Table 3 Effect of duration of Diabetes Mellitus on ABI (mean ±SD)</w:t>
      </w:r>
    </w:p>
    <w:tbl>
      <w:tblPr>
        <w:tblStyle w:val="TableGrid"/>
        <w:tblW w:w="0" w:type="auto"/>
        <w:tblLayout w:type="fixed"/>
        <w:tblLook w:val="04A0"/>
      </w:tblPr>
      <w:tblGrid>
        <w:gridCol w:w="1070"/>
        <w:gridCol w:w="739"/>
        <w:gridCol w:w="851"/>
        <w:gridCol w:w="850"/>
        <w:gridCol w:w="1314"/>
      </w:tblGrid>
      <w:tr w:rsidR="00D5390A" w:rsidRPr="00CB562F" w:rsidTr="004F39E6">
        <w:tc>
          <w:tcPr>
            <w:tcW w:w="1070"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Group</w:t>
            </w:r>
          </w:p>
        </w:tc>
        <w:tc>
          <w:tcPr>
            <w:tcW w:w="739"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 &lt; 0.9</w:t>
            </w:r>
          </w:p>
        </w:tc>
        <w:tc>
          <w:tcPr>
            <w:tcW w:w="851"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 &gt; 0.9</w:t>
            </w:r>
          </w:p>
        </w:tc>
        <w:tc>
          <w:tcPr>
            <w:tcW w:w="850"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w:t>
            </w:r>
          </w:p>
        </w:tc>
        <w:tc>
          <w:tcPr>
            <w:tcW w:w="1314"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P value</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Statistical</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lastRenderedPageBreak/>
              <w:t>Significance</w:t>
            </w:r>
          </w:p>
        </w:tc>
      </w:tr>
      <w:tr w:rsidR="00D5390A" w:rsidRPr="00CB562F" w:rsidTr="004F39E6">
        <w:tc>
          <w:tcPr>
            <w:tcW w:w="1070"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lastRenderedPageBreak/>
              <w:t>Duration&lt; 5 years</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(n=58)</w:t>
            </w:r>
          </w:p>
        </w:tc>
        <w:tc>
          <w:tcPr>
            <w:tcW w:w="739"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14 (24%)</w:t>
            </w:r>
          </w:p>
        </w:tc>
        <w:tc>
          <w:tcPr>
            <w:tcW w:w="851"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44 (76%)</w:t>
            </w:r>
          </w:p>
        </w:tc>
        <w:tc>
          <w:tcPr>
            <w:tcW w:w="850"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1.00± 0.196</w:t>
            </w:r>
          </w:p>
        </w:tc>
        <w:tc>
          <w:tcPr>
            <w:tcW w:w="1314" w:type="dxa"/>
            <w:vMerge w:val="restart"/>
          </w:tcPr>
          <w:p w:rsidR="00D5390A" w:rsidRPr="00CB562F" w:rsidRDefault="00D5390A" w:rsidP="004F39E6">
            <w:pPr>
              <w:pStyle w:val="NoSpacing"/>
              <w:jc w:val="both"/>
              <w:rPr>
                <w:rFonts w:cstheme="minorHAnsi"/>
                <w:color w:val="000000" w:themeColor="text1"/>
              </w:rPr>
            </w:pP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P =0.0208</w:t>
            </w: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Statistically</w:t>
            </w: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Significant</w:t>
            </w:r>
          </w:p>
        </w:tc>
      </w:tr>
      <w:tr w:rsidR="00D5390A" w:rsidRPr="00CB562F" w:rsidTr="004F39E6">
        <w:tc>
          <w:tcPr>
            <w:tcW w:w="1070"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Duration &gt; 5 years</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(n=52)</w:t>
            </w:r>
          </w:p>
        </w:tc>
        <w:tc>
          <w:tcPr>
            <w:tcW w:w="739"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25 (48%)</w:t>
            </w:r>
          </w:p>
        </w:tc>
        <w:tc>
          <w:tcPr>
            <w:tcW w:w="851"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29 (52%)</w:t>
            </w:r>
          </w:p>
        </w:tc>
        <w:tc>
          <w:tcPr>
            <w:tcW w:w="850"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0.93± 0.188</w:t>
            </w:r>
          </w:p>
        </w:tc>
        <w:tc>
          <w:tcPr>
            <w:tcW w:w="1314" w:type="dxa"/>
            <w:vMerge/>
          </w:tcPr>
          <w:p w:rsidR="00D5390A" w:rsidRPr="00CB562F" w:rsidRDefault="00D5390A" w:rsidP="004F39E6">
            <w:pPr>
              <w:pStyle w:val="NoSpacing"/>
              <w:jc w:val="both"/>
              <w:rPr>
                <w:rFonts w:cstheme="minorHAnsi"/>
                <w:color w:val="000000" w:themeColor="text1"/>
              </w:rPr>
            </w:pPr>
          </w:p>
        </w:tc>
      </w:tr>
      <w:tr w:rsidR="00D5390A" w:rsidRPr="00CB562F" w:rsidTr="004F39E6">
        <w:tc>
          <w:tcPr>
            <w:tcW w:w="1070" w:type="dxa"/>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Total</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(n=110)</w:t>
            </w:r>
          </w:p>
        </w:tc>
        <w:tc>
          <w:tcPr>
            <w:tcW w:w="739"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39 (35%)</w:t>
            </w:r>
          </w:p>
        </w:tc>
        <w:tc>
          <w:tcPr>
            <w:tcW w:w="851"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71 (65%)</w:t>
            </w:r>
          </w:p>
        </w:tc>
        <w:tc>
          <w:tcPr>
            <w:tcW w:w="850" w:type="dxa"/>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0.99± 0.192</w:t>
            </w:r>
          </w:p>
        </w:tc>
        <w:tc>
          <w:tcPr>
            <w:tcW w:w="1314" w:type="dxa"/>
            <w:vMerge/>
          </w:tcPr>
          <w:p w:rsidR="00D5390A" w:rsidRPr="00CB562F" w:rsidRDefault="00D5390A" w:rsidP="004F39E6">
            <w:pPr>
              <w:pStyle w:val="NoSpacing"/>
              <w:jc w:val="both"/>
              <w:rPr>
                <w:rFonts w:cstheme="minorHAnsi"/>
                <w:color w:val="000000" w:themeColor="text1"/>
              </w:rPr>
            </w:pPr>
          </w:p>
        </w:tc>
      </w:tr>
    </w:tbl>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Table 3 shows that ABI become low more as the duration of disease increases.</w:t>
      </w:r>
    </w:p>
    <w:p w:rsidR="00D5390A" w:rsidRPr="00CB562F" w:rsidRDefault="00D5390A" w:rsidP="00D5390A">
      <w:pPr>
        <w:pStyle w:val="NoSpacing"/>
        <w:jc w:val="both"/>
        <w:rPr>
          <w:rFonts w:cstheme="minorHAnsi"/>
          <w:b/>
          <w:color w:val="000000" w:themeColor="text1"/>
        </w:rPr>
      </w:pPr>
    </w:p>
    <w:p w:rsidR="00D5390A" w:rsidRPr="00CB562F" w:rsidRDefault="00D5390A" w:rsidP="00D5390A">
      <w:pPr>
        <w:pStyle w:val="NoSpacing"/>
        <w:jc w:val="both"/>
        <w:rPr>
          <w:rFonts w:cstheme="minorHAnsi"/>
          <w:b/>
          <w:color w:val="000000" w:themeColor="text1"/>
        </w:rPr>
      </w:pPr>
      <w:r w:rsidRPr="00CB562F">
        <w:rPr>
          <w:rFonts w:cstheme="minorHAnsi"/>
          <w:b/>
          <w:color w:val="000000" w:themeColor="text1"/>
        </w:rPr>
        <w:t>Table 4 Effect of Presence of PAD symptom on ABI (mean ±SD)</w:t>
      </w:r>
    </w:p>
    <w:tbl>
      <w:tblPr>
        <w:tblStyle w:val="TableGrid"/>
        <w:tblW w:w="0" w:type="auto"/>
        <w:tblLook w:val="04A0"/>
      </w:tblPr>
      <w:tblGrid>
        <w:gridCol w:w="1033"/>
        <w:gridCol w:w="1023"/>
        <w:gridCol w:w="1023"/>
        <w:gridCol w:w="1267"/>
        <w:gridCol w:w="1296"/>
      </w:tblGrid>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Group</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 &lt; 0.9</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 &gt; 0.9</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ABI</w:t>
            </w:r>
          </w:p>
        </w:tc>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P value</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Statistical</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Significance</w:t>
            </w:r>
          </w:p>
        </w:tc>
      </w:tr>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Sympto</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matic</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(n=51)</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28 (55%)</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23 (45%)</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0.87± 0.147</w:t>
            </w:r>
          </w:p>
        </w:tc>
        <w:tc>
          <w:tcPr>
            <w:tcW w:w="0" w:type="auto"/>
            <w:vMerge w:val="restart"/>
          </w:tcPr>
          <w:p w:rsidR="00D5390A" w:rsidRPr="00CB562F" w:rsidRDefault="00D5390A" w:rsidP="004F39E6">
            <w:pPr>
              <w:pStyle w:val="NoSpacing"/>
              <w:jc w:val="both"/>
              <w:rPr>
                <w:rFonts w:cstheme="minorHAnsi"/>
                <w:color w:val="000000" w:themeColor="text1"/>
              </w:rPr>
            </w:pP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P &lt;0.0001</w:t>
            </w: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Extremely</w:t>
            </w:r>
          </w:p>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significant</w:t>
            </w:r>
          </w:p>
        </w:tc>
      </w:tr>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Asympto</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matic</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(n=59)</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11 (17%)</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48 (83%)</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1.06± 0.191</w:t>
            </w:r>
          </w:p>
        </w:tc>
        <w:tc>
          <w:tcPr>
            <w:tcW w:w="0" w:type="auto"/>
            <w:vMerge/>
          </w:tcPr>
          <w:p w:rsidR="00D5390A" w:rsidRPr="00CB562F" w:rsidRDefault="00D5390A" w:rsidP="004F39E6">
            <w:pPr>
              <w:pStyle w:val="NoSpacing"/>
              <w:jc w:val="both"/>
              <w:rPr>
                <w:rFonts w:cstheme="minorHAnsi"/>
                <w:color w:val="000000" w:themeColor="text1"/>
              </w:rPr>
            </w:pPr>
          </w:p>
        </w:tc>
      </w:tr>
      <w:tr w:rsidR="00D5390A" w:rsidRPr="00CB562F" w:rsidTr="004F39E6">
        <w:tc>
          <w:tcPr>
            <w:tcW w:w="0" w:type="auto"/>
          </w:tcPr>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Total</w:t>
            </w:r>
          </w:p>
          <w:p w:rsidR="00D5390A" w:rsidRPr="00CB562F" w:rsidRDefault="00D5390A" w:rsidP="004F39E6">
            <w:pPr>
              <w:pStyle w:val="NoSpacing"/>
              <w:jc w:val="both"/>
              <w:rPr>
                <w:rFonts w:cstheme="minorHAnsi"/>
                <w:b/>
                <w:color w:val="000000" w:themeColor="text1"/>
              </w:rPr>
            </w:pPr>
            <w:r w:rsidRPr="00CB562F">
              <w:rPr>
                <w:rFonts w:cstheme="minorHAnsi"/>
                <w:b/>
                <w:color w:val="000000" w:themeColor="text1"/>
              </w:rPr>
              <w:t>(n=110)</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39 (35%)</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71 (65%)</w:t>
            </w:r>
          </w:p>
        </w:tc>
        <w:tc>
          <w:tcPr>
            <w:tcW w:w="0" w:type="auto"/>
          </w:tcPr>
          <w:p w:rsidR="00D5390A" w:rsidRPr="00CB562F" w:rsidRDefault="00D5390A" w:rsidP="004F39E6">
            <w:pPr>
              <w:pStyle w:val="NoSpacing"/>
              <w:jc w:val="both"/>
              <w:rPr>
                <w:rFonts w:cstheme="minorHAnsi"/>
                <w:color w:val="000000" w:themeColor="text1"/>
              </w:rPr>
            </w:pPr>
            <w:r w:rsidRPr="00CB562F">
              <w:rPr>
                <w:rFonts w:cstheme="minorHAnsi"/>
                <w:color w:val="000000" w:themeColor="text1"/>
              </w:rPr>
              <w:t>0.99± 0.191</w:t>
            </w:r>
          </w:p>
        </w:tc>
        <w:tc>
          <w:tcPr>
            <w:tcW w:w="0" w:type="auto"/>
            <w:vMerge/>
          </w:tcPr>
          <w:p w:rsidR="00D5390A" w:rsidRPr="00CB562F" w:rsidRDefault="00D5390A" w:rsidP="004F39E6">
            <w:pPr>
              <w:pStyle w:val="NoSpacing"/>
              <w:jc w:val="both"/>
              <w:rPr>
                <w:rFonts w:cstheme="minorHAnsi"/>
                <w:color w:val="000000" w:themeColor="text1"/>
              </w:rPr>
            </w:pPr>
          </w:p>
        </w:tc>
      </w:tr>
    </w:tbl>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Table 4 shows that in symptomatic subjects low ABI was extremely significantly prevalent.</w:t>
      </w:r>
    </w:p>
    <w:p w:rsidR="00D5390A" w:rsidRPr="00CB562F" w:rsidRDefault="00D5390A" w:rsidP="00D5390A">
      <w:pPr>
        <w:pStyle w:val="NoSpacing"/>
        <w:jc w:val="both"/>
        <w:rPr>
          <w:rFonts w:cstheme="minorHAnsi"/>
          <w:b/>
          <w:bCs/>
          <w:color w:val="000000" w:themeColor="text1"/>
        </w:rPr>
      </w:pPr>
    </w:p>
    <w:p w:rsidR="00D5390A" w:rsidRPr="00CB562F" w:rsidRDefault="00D5390A" w:rsidP="00D5390A">
      <w:pPr>
        <w:pStyle w:val="NoSpacing"/>
        <w:jc w:val="both"/>
        <w:rPr>
          <w:rFonts w:cstheme="minorHAnsi"/>
          <w:b/>
          <w:bCs/>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b/>
          <w:bCs/>
          <w:color w:val="000000" w:themeColor="text1"/>
        </w:rPr>
        <w:t xml:space="preserve">Discussion: </w:t>
      </w:r>
      <w:r w:rsidRPr="00CB562F">
        <w:rPr>
          <w:rFonts w:cstheme="minorHAnsi"/>
          <w:color w:val="000000" w:themeColor="text1"/>
        </w:rPr>
        <w:t>Results disclosed a high prevalence of low ABI in this study conducted in an urban area of West India. In various studies done in western world the prevalence found was 17.3% in Caucasian population(Hoorn study)</w:t>
      </w:r>
      <w:r w:rsidRPr="00CB562F">
        <w:rPr>
          <w:rFonts w:cstheme="minorHAnsi"/>
          <w:color w:val="000000" w:themeColor="text1"/>
          <w:vertAlign w:val="superscript"/>
        </w:rPr>
        <w:t>17</w:t>
      </w:r>
      <w:r w:rsidRPr="00CB562F">
        <w:rPr>
          <w:rFonts w:cstheme="minorHAnsi"/>
          <w:color w:val="000000" w:themeColor="text1"/>
        </w:rPr>
        <w:t>,23.5% in UK</w:t>
      </w:r>
      <w:r w:rsidRPr="00CB562F">
        <w:rPr>
          <w:rFonts w:cstheme="minorHAnsi"/>
          <w:color w:val="000000" w:themeColor="text1"/>
          <w:vertAlign w:val="superscript"/>
        </w:rPr>
        <w:t>18</w:t>
      </w:r>
      <w:r w:rsidRPr="00CB562F">
        <w:rPr>
          <w:rFonts w:cstheme="minorHAnsi"/>
          <w:color w:val="000000" w:themeColor="text1"/>
        </w:rPr>
        <w:t>,12.8% in Poland</w:t>
      </w:r>
      <w:r w:rsidRPr="00CB562F">
        <w:rPr>
          <w:rFonts w:cstheme="minorHAnsi"/>
          <w:color w:val="000000" w:themeColor="text1"/>
          <w:vertAlign w:val="superscript"/>
        </w:rPr>
        <w:t>19</w:t>
      </w:r>
      <w:r w:rsidRPr="00CB562F">
        <w:rPr>
          <w:rFonts w:cstheme="minorHAnsi"/>
          <w:color w:val="000000" w:themeColor="text1"/>
        </w:rPr>
        <w:t xml:space="preserve"> ,4.9% in Strong Heart Study USA.</w:t>
      </w:r>
      <w:r w:rsidRPr="00CB562F">
        <w:rPr>
          <w:rFonts w:cstheme="minorHAnsi"/>
          <w:color w:val="000000" w:themeColor="text1"/>
          <w:vertAlign w:val="superscript"/>
        </w:rPr>
        <w:t>20</w:t>
      </w:r>
      <w:r w:rsidRPr="00CB562F">
        <w:rPr>
          <w:rFonts w:cstheme="minorHAnsi"/>
          <w:color w:val="000000" w:themeColor="text1"/>
        </w:rPr>
        <w:t>When we look at the scenario of Asian countries it was found 5% in Japan</w:t>
      </w:r>
      <w:r w:rsidRPr="00CB562F">
        <w:rPr>
          <w:rFonts w:cstheme="minorHAnsi"/>
          <w:color w:val="000000" w:themeColor="text1"/>
          <w:vertAlign w:val="superscript"/>
        </w:rPr>
        <w:t>21</w:t>
      </w:r>
      <w:r w:rsidRPr="00CB562F">
        <w:rPr>
          <w:rFonts w:cstheme="minorHAnsi"/>
          <w:color w:val="000000" w:themeColor="text1"/>
        </w:rPr>
        <w:t>,12%  in China</w:t>
      </w:r>
      <w:r w:rsidRPr="00CB562F">
        <w:rPr>
          <w:rFonts w:cstheme="minorHAnsi"/>
          <w:color w:val="000000" w:themeColor="text1"/>
          <w:vertAlign w:val="superscript"/>
        </w:rPr>
        <w:t>22</w:t>
      </w:r>
      <w:r w:rsidRPr="00CB562F">
        <w:rPr>
          <w:rFonts w:cstheme="minorHAnsi"/>
          <w:color w:val="000000" w:themeColor="text1"/>
        </w:rPr>
        <w:t>,2.2% in males and 1.8% in females in Korea</w:t>
      </w:r>
      <w:r w:rsidRPr="00CB562F">
        <w:rPr>
          <w:rFonts w:cstheme="minorHAnsi"/>
          <w:color w:val="000000" w:themeColor="text1"/>
          <w:vertAlign w:val="superscript"/>
        </w:rPr>
        <w:t>23</w:t>
      </w:r>
      <w:r w:rsidRPr="00CB562F">
        <w:rPr>
          <w:rFonts w:cstheme="minorHAnsi"/>
          <w:color w:val="000000" w:themeColor="text1"/>
        </w:rPr>
        <w:t>,16% in Malaysia</w:t>
      </w:r>
      <w:r w:rsidRPr="00CB562F">
        <w:rPr>
          <w:rFonts w:cstheme="minorHAnsi"/>
          <w:color w:val="000000" w:themeColor="text1"/>
          <w:vertAlign w:val="superscript"/>
        </w:rPr>
        <w:t>24</w:t>
      </w:r>
      <w:r w:rsidRPr="00CB562F">
        <w:rPr>
          <w:rFonts w:cstheme="minorHAnsi"/>
          <w:color w:val="000000" w:themeColor="text1"/>
        </w:rPr>
        <w:t xml:space="preserve">,10-15% in Taiwan. </w:t>
      </w:r>
      <w:r w:rsidRPr="00CB562F">
        <w:rPr>
          <w:rFonts w:cstheme="minorHAnsi"/>
          <w:color w:val="000000" w:themeColor="text1"/>
          <w:vertAlign w:val="superscript"/>
        </w:rPr>
        <w:t>25</w:t>
      </w:r>
      <w:r w:rsidRPr="00CB562F">
        <w:rPr>
          <w:rFonts w:cstheme="minorHAnsi"/>
          <w:color w:val="000000" w:themeColor="text1"/>
        </w:rPr>
        <w:t xml:space="preserve"> American Indians have high prevalence of Diabetes Mellitus, PAD and Low ABI.</w:t>
      </w:r>
      <w:r w:rsidRPr="00CB562F">
        <w:rPr>
          <w:rFonts w:cstheme="minorHAnsi"/>
          <w:color w:val="000000" w:themeColor="text1"/>
          <w:vertAlign w:val="superscript"/>
        </w:rPr>
        <w:t>26, 27</w:t>
      </w:r>
      <w:r w:rsidRPr="00CB562F">
        <w:rPr>
          <w:rFonts w:cstheme="minorHAnsi"/>
          <w:color w:val="000000" w:themeColor="text1"/>
        </w:rPr>
        <w:t xml:space="preserve"> Amongst various Asian countries Indians have highest percentage of abnormal ABI profile as reported by a study done on Asian population. In few studies like The Strong Heart Study done outside India prevalence of low ABI was strikingly higher in Indians than other ethnic groups.</w:t>
      </w:r>
      <w:r w:rsidRPr="00CB562F">
        <w:rPr>
          <w:rFonts w:cstheme="minorHAnsi"/>
          <w:color w:val="000000" w:themeColor="text1"/>
          <w:vertAlign w:val="superscript"/>
        </w:rPr>
        <w:t>28</w:t>
      </w:r>
      <w:r w:rsidRPr="00CB562F">
        <w:rPr>
          <w:rFonts w:cstheme="minorHAnsi"/>
          <w:color w:val="000000" w:themeColor="text1"/>
        </w:rPr>
        <w:t xml:space="preserve"> In a study done in Malaysia the prevalence of PAD was 5.8% in Malays, 19.4% in Chinese and 19.8% in Indians.</w:t>
      </w:r>
      <w:r w:rsidRPr="00CB562F">
        <w:rPr>
          <w:rFonts w:cstheme="minorHAnsi"/>
          <w:color w:val="000000" w:themeColor="text1"/>
          <w:vertAlign w:val="superscript"/>
        </w:rPr>
        <w:t>24</w:t>
      </w:r>
      <w:r w:rsidRPr="00CB562F">
        <w:rPr>
          <w:rFonts w:cstheme="minorHAnsi"/>
          <w:color w:val="000000" w:themeColor="text1"/>
        </w:rPr>
        <w:t xml:space="preserve"> These are pointing towards some genetic link as a causative of high susceptibility to develop vasculopathy associated with Diabetes Mellitus. Few Indian studies revealed the prevalence to be 34.4 % in East India </w:t>
      </w:r>
      <w:r w:rsidRPr="00CB562F">
        <w:rPr>
          <w:rFonts w:cstheme="minorHAnsi"/>
          <w:color w:val="000000" w:themeColor="text1"/>
          <w:vertAlign w:val="superscript"/>
        </w:rPr>
        <w:t>29</w:t>
      </w:r>
      <w:r w:rsidRPr="00CB562F">
        <w:rPr>
          <w:rFonts w:cstheme="minorHAnsi"/>
          <w:color w:val="000000" w:themeColor="text1"/>
        </w:rPr>
        <w:t>, 11.8% in South India</w:t>
      </w:r>
      <w:r w:rsidRPr="00CB562F">
        <w:rPr>
          <w:rFonts w:cstheme="minorHAnsi"/>
          <w:color w:val="000000" w:themeColor="text1"/>
          <w:vertAlign w:val="superscript"/>
        </w:rPr>
        <w:t>30</w:t>
      </w:r>
      <w:r w:rsidRPr="00CB562F">
        <w:rPr>
          <w:rFonts w:cstheme="minorHAnsi"/>
          <w:color w:val="000000" w:themeColor="text1"/>
        </w:rPr>
        <w:t>, 4.67% in females and 4.47% in males in North India</w:t>
      </w:r>
      <w:r w:rsidRPr="00CB562F">
        <w:rPr>
          <w:rFonts w:cstheme="minorHAnsi"/>
          <w:color w:val="000000" w:themeColor="text1"/>
          <w:vertAlign w:val="superscript"/>
        </w:rPr>
        <w:t>31</w:t>
      </w:r>
      <w:r w:rsidRPr="00CB562F">
        <w:rPr>
          <w:rFonts w:cstheme="minorHAnsi"/>
          <w:color w:val="000000" w:themeColor="text1"/>
        </w:rPr>
        <w:t xml:space="preserve">. </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Our sample study showed it higher than other regions of India. It can be attributed to high mean BMI</w:t>
      </w:r>
      <w:r w:rsidRPr="00CB562F">
        <w:rPr>
          <w:rFonts w:cstheme="minorHAnsi"/>
          <w:color w:val="000000" w:themeColor="text1"/>
          <w:vertAlign w:val="superscript"/>
        </w:rPr>
        <w:t>32</w:t>
      </w:r>
      <w:r w:rsidRPr="00CB562F">
        <w:rPr>
          <w:rFonts w:cstheme="minorHAnsi"/>
          <w:color w:val="000000" w:themeColor="text1"/>
        </w:rPr>
        <w:t>, increased mean age</w:t>
      </w:r>
      <w:r w:rsidRPr="00CB562F">
        <w:rPr>
          <w:rFonts w:cstheme="minorHAnsi"/>
          <w:color w:val="000000" w:themeColor="text1"/>
          <w:vertAlign w:val="superscript"/>
        </w:rPr>
        <w:t>33, 34, 35</w:t>
      </w:r>
      <w:r w:rsidRPr="00CB562F">
        <w:rPr>
          <w:rFonts w:cstheme="minorHAnsi"/>
          <w:color w:val="000000" w:themeColor="text1"/>
        </w:rPr>
        <w:t>, and increased blood mean sugar level</w:t>
      </w:r>
      <w:r w:rsidRPr="00CB562F">
        <w:rPr>
          <w:rFonts w:cstheme="minorHAnsi"/>
          <w:color w:val="000000" w:themeColor="text1"/>
          <w:vertAlign w:val="superscript"/>
        </w:rPr>
        <w:t>36, 37, 38</w:t>
      </w:r>
      <w:r w:rsidRPr="00CB562F">
        <w:rPr>
          <w:rFonts w:cstheme="minorHAnsi"/>
          <w:color w:val="000000" w:themeColor="text1"/>
        </w:rPr>
        <w:t xml:space="preserve"> in this study population. Further they are not given any prophylactic medication like aspirin or ACE inhibitors in absence of cardiac indication. Low ABI is a good predictor of cardiovascular diseases and even death. </w:t>
      </w:r>
      <w:r w:rsidRPr="00CB562F">
        <w:rPr>
          <w:rFonts w:cstheme="minorHAnsi"/>
          <w:color w:val="000000" w:themeColor="text1"/>
          <w:vertAlign w:val="superscript"/>
        </w:rPr>
        <w:t xml:space="preserve">13,39,40 41,42 </w:t>
      </w:r>
      <w:r w:rsidRPr="00CB562F">
        <w:rPr>
          <w:rFonts w:cstheme="minorHAnsi"/>
          <w:color w:val="000000" w:themeColor="text1"/>
        </w:rPr>
        <w:t xml:space="preserve"> It is indicative not only of limb ischemia but also of increased risk by cardiac death.</w:t>
      </w:r>
      <w:r w:rsidRPr="00CB562F">
        <w:rPr>
          <w:rFonts w:cstheme="minorHAnsi"/>
          <w:color w:val="000000" w:themeColor="text1"/>
          <w:vertAlign w:val="superscript"/>
        </w:rPr>
        <w:t>40</w:t>
      </w:r>
      <w:r w:rsidRPr="00CB562F">
        <w:rPr>
          <w:rFonts w:cstheme="minorHAnsi"/>
          <w:color w:val="000000" w:themeColor="text1"/>
        </w:rPr>
        <w:t xml:space="preserve"> Low ABI makes cardiovascular event 5 times more probable than in case of ABI within normal range.</w:t>
      </w:r>
      <w:r w:rsidRPr="00CB562F">
        <w:rPr>
          <w:rFonts w:cstheme="minorHAnsi"/>
          <w:color w:val="000000" w:themeColor="text1"/>
          <w:vertAlign w:val="superscript"/>
        </w:rPr>
        <w:t>43</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High ABI in females can be due to abnormal lipid profile in post menopausal period of life leading to withdrawal of hormonal support that was preventive against vasculopathy otherwise.</w:t>
      </w:r>
      <w:r w:rsidRPr="00CB562F">
        <w:rPr>
          <w:rFonts w:cstheme="minorHAnsi"/>
          <w:color w:val="000000" w:themeColor="text1"/>
          <w:vertAlign w:val="superscript"/>
        </w:rPr>
        <w:t>44</w:t>
      </w:r>
      <w:r w:rsidRPr="00CB562F">
        <w:rPr>
          <w:rFonts w:cstheme="minorHAnsi"/>
          <w:color w:val="000000" w:themeColor="text1"/>
        </w:rPr>
        <w:t xml:space="preserve"> Few studies shows no gender difference</w:t>
      </w:r>
      <w:r w:rsidRPr="00CB562F">
        <w:rPr>
          <w:rFonts w:cstheme="minorHAnsi"/>
          <w:color w:val="000000" w:themeColor="text1"/>
          <w:vertAlign w:val="superscript"/>
        </w:rPr>
        <w:t>25, 30, 45, 46</w:t>
      </w:r>
      <w:r w:rsidRPr="00CB562F">
        <w:rPr>
          <w:rFonts w:cstheme="minorHAnsi"/>
          <w:color w:val="000000" w:themeColor="text1"/>
        </w:rPr>
        <w:t xml:space="preserve"> and few opposite result</w:t>
      </w:r>
      <w:r w:rsidRPr="00CB562F">
        <w:rPr>
          <w:rFonts w:cstheme="minorHAnsi"/>
          <w:color w:val="000000" w:themeColor="text1"/>
          <w:vertAlign w:val="superscript"/>
        </w:rPr>
        <w:t>21, 23</w:t>
      </w:r>
      <w:r w:rsidRPr="00CB562F">
        <w:rPr>
          <w:rFonts w:cstheme="minorHAnsi"/>
          <w:color w:val="000000" w:themeColor="text1"/>
        </w:rPr>
        <w:t xml:space="preserve"> but as there was more than half </w:t>
      </w:r>
      <w:r w:rsidRPr="00CB562F">
        <w:rPr>
          <w:rFonts w:cstheme="minorHAnsi"/>
          <w:color w:val="000000" w:themeColor="text1"/>
        </w:rPr>
        <w:lastRenderedPageBreak/>
        <w:t>share of female subjects this gender difference which is statistically significant cannot be neglected. Diabetes Mellitus with chronic progression increases the low ABI profile as in line with previous observations.</w:t>
      </w:r>
      <w:r w:rsidRPr="00CB562F">
        <w:rPr>
          <w:rFonts w:cstheme="minorHAnsi"/>
          <w:color w:val="000000" w:themeColor="text1"/>
          <w:vertAlign w:val="superscript"/>
        </w:rPr>
        <w:t>30, 47</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India will ranks top in Diabetes now and continue to do so by 2025.Only few studies have been conducted in India to quantify PAD burden and perhaps none in this region. Recently Gujarat has shown to rank first in the prevalence of Diabetes one can think of difficulties to be faced by healthcare providers and policy makers. Fortunately simple therapies have been shown to prevent adverse cardiovascular events in peripheral artery disease, including antiplatelet drugs, statins, and angiotensin-converting enzyme inhibitors</w:t>
      </w:r>
      <w:r w:rsidRPr="00CB562F">
        <w:rPr>
          <w:rFonts w:cstheme="minorHAnsi"/>
          <w:color w:val="000000" w:themeColor="text1"/>
          <w:vertAlign w:val="superscript"/>
        </w:rPr>
        <w:t>48, 49, 50</w:t>
      </w:r>
      <w:r w:rsidRPr="00CB562F">
        <w:rPr>
          <w:rFonts w:cstheme="minorHAnsi"/>
          <w:color w:val="000000" w:themeColor="text1"/>
        </w:rPr>
        <w:t xml:space="preserve"> and we have a simple sensitive tool like ABI to detect those at risk. </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By present study we try to correlate ABI results neither in age group which is a proven fact nor with glycaemia control that is often disproved by few studies.</w:t>
      </w:r>
      <w:r w:rsidRPr="00CB562F">
        <w:rPr>
          <w:rFonts w:cstheme="minorHAnsi"/>
          <w:color w:val="000000" w:themeColor="text1"/>
          <w:vertAlign w:val="superscript"/>
        </w:rPr>
        <w:t>24,25, 36, 46</w:t>
      </w:r>
      <w:r w:rsidRPr="00CB562F">
        <w:rPr>
          <w:rFonts w:cstheme="minorHAnsi"/>
          <w:color w:val="000000" w:themeColor="text1"/>
        </w:rPr>
        <w:t xml:space="preserve"> Also measurement of Hb1Ac, Lipid profile in all patients is not cost effective and results may show some different picture. However it was seen that ABI profile become worse after 5 years of duration of disease and more so in the patients who are symptomatic for PAD regardless the age and gender. This technique is highly specific and fairly specific and cost effective when compared with Colour Doppler.</w:t>
      </w:r>
      <w:r w:rsidRPr="00CB562F">
        <w:rPr>
          <w:rFonts w:cstheme="minorHAnsi"/>
          <w:color w:val="000000" w:themeColor="text1"/>
          <w:vertAlign w:val="superscript"/>
        </w:rPr>
        <w:t>25</w:t>
      </w:r>
      <w:r w:rsidRPr="00CB562F">
        <w:rPr>
          <w:rFonts w:cstheme="minorHAnsi"/>
          <w:color w:val="000000" w:themeColor="text1"/>
        </w:rPr>
        <w:t xml:space="preserve"> It is affordable, reproducible, not requiring much space or technical support or training and can be practicised even at primary care level to screen those who are at risk and who are showing sign of PAD.</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Limitations of Study: We did not try to correlate various risk factors with ABI values and as it was not feasible to get costly investigations like Hb1Ac and Lipid profile done in all patients. Study being cross sectional cannot prove cause and effect relationship and further prospective study is required for reinforcement of observation. However it provides an insight into current magnitude of this serious health issue.</w:t>
      </w:r>
    </w:p>
    <w:p w:rsidR="00D5390A" w:rsidRPr="00CB562F" w:rsidRDefault="00D5390A" w:rsidP="00D5390A">
      <w:pPr>
        <w:pStyle w:val="NoSpacing"/>
        <w:jc w:val="both"/>
        <w:rPr>
          <w:rFonts w:cstheme="minorHAnsi"/>
          <w:b/>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b/>
          <w:color w:val="000000" w:themeColor="text1"/>
        </w:rPr>
        <w:t xml:space="preserve">Acknowledgement: </w:t>
      </w:r>
      <w:r w:rsidRPr="00CB562F">
        <w:rPr>
          <w:rFonts w:cstheme="minorHAnsi"/>
          <w:color w:val="000000" w:themeColor="text1"/>
        </w:rPr>
        <w:t>I am thankful to Department of Physiology Govt Medical College Bhavnagar for providing me an opportunity to conduct this study. I am also thankful to UHTC, Bhavnagar, Medicine Department Govt Medical College Bhavnagar and Dr Krunal Chandarana for allowing me to recruit the subjects for the study.</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The present study revealed high prevalence of low ABI in Diabetics that is an individual risk factor for CVD. This cost effective method can be used as a primary preventive measure to screen PAD patients having Diabetes and proper intervention can be insinuated to stop its progression. This simple non-invasive method is a boon for developing countries like India when looked in context of high prevalence of Diabetes and its complications.</w:t>
      </w:r>
    </w:p>
    <w:p w:rsidR="00D5390A" w:rsidRPr="00CB562F" w:rsidRDefault="00D5390A" w:rsidP="00D5390A">
      <w:pPr>
        <w:pStyle w:val="NoSpacing"/>
        <w:jc w:val="both"/>
        <w:rPr>
          <w:rFonts w:cstheme="minorHAnsi"/>
          <w:b/>
          <w:bCs/>
          <w:color w:val="000000" w:themeColor="text1"/>
        </w:rPr>
      </w:pPr>
    </w:p>
    <w:p w:rsidR="00D5390A" w:rsidRPr="00CB562F" w:rsidRDefault="00D5390A" w:rsidP="00D5390A">
      <w:pPr>
        <w:pStyle w:val="NoSpacing"/>
        <w:jc w:val="both"/>
        <w:rPr>
          <w:rFonts w:cstheme="minorHAnsi"/>
          <w:b/>
          <w:bCs/>
          <w:color w:val="000000" w:themeColor="text1"/>
        </w:rPr>
      </w:pPr>
    </w:p>
    <w:p w:rsidR="00D5390A" w:rsidRPr="00CB562F" w:rsidRDefault="00D5390A" w:rsidP="00D5390A">
      <w:pPr>
        <w:pStyle w:val="NoSpacing"/>
        <w:jc w:val="both"/>
        <w:rPr>
          <w:rFonts w:cstheme="minorHAnsi"/>
          <w:b/>
          <w:bCs/>
          <w:color w:val="000000" w:themeColor="text1"/>
        </w:rPr>
      </w:pPr>
    </w:p>
    <w:p w:rsidR="00D5390A" w:rsidRPr="00CB562F" w:rsidRDefault="00D5390A" w:rsidP="00D5390A">
      <w:pPr>
        <w:pStyle w:val="NoSpacing"/>
        <w:jc w:val="both"/>
        <w:rPr>
          <w:rFonts w:cstheme="minorHAnsi"/>
          <w:b/>
          <w:bCs/>
          <w:color w:val="000000" w:themeColor="text1"/>
        </w:rPr>
      </w:pPr>
      <w:r w:rsidRPr="00CB562F">
        <w:rPr>
          <w:rFonts w:cstheme="minorHAnsi"/>
          <w:b/>
          <w:bCs/>
          <w:color w:val="000000" w:themeColor="text1"/>
        </w:rPr>
        <w:t>Referencess</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 Kuller LH. Dietary fat and chronic diseases epidemiologyc overview. J Am Diet Assoc. 1997;97:9–15.</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 Grol ME, HLLbi VT, Gersternbluth JF. Lifestyle in Curacao. Smoking, alcohol consumption, eating habits and exercise. West Indian Med J. 1997;46:8–14.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 Ramachandran A, Snehalatha C, Baskar AD, Mary S, Kumar CK, Selvam S, et al. Temporal Changes in Prevalence of Diabetes and Impaired Glucose Tolerance Associated With Life Style Transition Occurring in Rural Population in India. Diabetologia. 2004; 47 :860–5.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 American Diabetes Association. Consensus Statements. Peripheral Arterial Disease in people with diabetes. Diabetes Care 2003; 26(12): 3333-41.</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lastRenderedPageBreak/>
        <w:t>5 Hinchliffe RJ, Andros G, Apelqvist J, Bakker K, Fiedrichs S, Lammer J,et al. A systematic review of the effectiveness of revascularization of the ulcerated foot in patients with diabetes and peripheral arterial disease. Diabetes Metab Res Rev. 2012; 28 (Suppl. 1): 179-217.</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6 Schaper NC. Lessons from Eurodiale. Diabetes Metab Res Rev. 2012; 28 (Suppl. 1): 21-26.</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7 Lee AJ, Price JF, Russell MJ, Smith FB, van Wijk MC, Fowkes FG: Improved prediction of fatal myocardial infarction using the ankle brachial index in addition to conventional risk factors: the Edinburgh Artery Study. Circulation 110:3075–3080, 2004.</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8 Apelqvist J, Bakker K, van Houtum WH, Schaper NC. Practical guidelines on the management and prevention of the diabetic foot: based upon the International Consensus on the Diabetic Foot (2007).Diabetes Metab Res Rev. 2008; 24 (Suppl. 1): 181-187.</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9 Newman AB, Tyrrell KS, Kuller LH: Mortality over four years in SHEP participants with a low ankle-arm index. J Am Geriatr Soc 45:1472–1478, 1997</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10 Newman AB, Shemanski L, Manolio TA,Cushman M, Mittelmark M, Polak JF,Powe NR, Siscovick D: Ankle-arm index as a predictor of CVD and mortality in the Cardiovascular Health Study: the Cardiovascular Health Study Group. Arterioscler</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11 Garcia LA. Epidemiology and pathophysiology of lower extremity peripheral arterial disease. J Endovasc Ther. 2006; 13(Suppl 2):II-3-9.</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12 Lijmer JG, Hunink MG, van den Dungen JJ, Loonstra J, Smit AJ . ROC analysis of noninvasive tests for peripheral arterial disease. Ultrasound Med Biol1996; 22:391–398.</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13 Xu D, Li J, Zou L, Xu Y, Hu D, Pagodo SL, Ma Y. Sensitivity and specificity of the ankle–brachial index to diagnose peripheral artery disease: a structured review. Vasc Med. 2010; 15(5): 361-369.</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14 E. R. Mohler, “Peripheral arterial disease: identification and implications,” Archives of Internal Medicine, vol. 163, no. 19, pp. 2306–2314, 2003.</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15 Murabito JM, Evans JC, Larson MG, Nieto K, Levy D, Wilson PW; Framingham Study. The ankle–brachial index in the elderly and risk of stroke, coronary disease, and death: the Framingham Study. Arch Intern Med 2003; 163: 1939–1942.</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16 Norman PE, Eikelboom JW, Hankey GJ. Peripheral arterial disease: prognostic significance and prevention of atherothrombotic complications. Med J Aust. 2004;181(3):150-4.</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17 Beks PJ, Mackaay AJ, de Neeling JN, de Vries H, Bouter LM, Heine RJ. Peripheral arterial disease in relation to glycaemic level in an elderly Caucasian population: the Hoorn study. Diabetologia. 1995; 38(1): 86-96.</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18 Walters DP, Gatling W, Mullee MA, Hill RD. The prevalence, detection,and epidemiological correlates of peripheral vascular disease: a comparison of diabetic and non-diabetic subjects in an English community. Diabet Med. 1992; 9(8): 710-715.</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19 Dziemidok P, Szcześniak G, Kostrzewa-Zabłocka E, Paprzycki P, Korzon-Burakowska A. Is the advancement of diabetic angiopathy evaluated as ankle-brachial index directly associated with current glycaemic control? Ann Agric Environ Med. 2012; 19(3): 563-566.</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20 H. E. Resnick, R. S. Lindsay, M. M. McDermott et al., “Relationship of high and low ankle brachial index to all-cause and cardiovascular disease mortality: the strong heart study,”Circulation, vol. 109, no. 6, pp. 733–739, 2004.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21 R. Cui, H. Iso, K. Yamagishi et al., “Ankle-arm blood pressure index and cardiovascular risk factors in elderly Japanese men,” Hypertension Research, vol. 26, no. 5, pp. 377–382, 2003.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22 Y. J. Li, H. Guan, W. Ye, and C. W. Liu, “Pulse wave velocity a sensitive predicator for peripheral artery disease among diabetic patients,” Chinese Journal of Surgery, vol. 47, pp. 1487–1490, 2009.</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23 W. W. Seo, H. J. Chang, I. Cho et al., “The value of brachial-ankle pulse wave velocity as a predictor of coronary artery disease in high-risk patients,” Korean Circulation Journal, vol. 40, no. 5, pp. 224–229, 2010.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 xml:space="preserve">24 K Rabia, E M Khoo, Prevalence of Peripheral Arterial Disease in Patients with Diabetes Mellitus in a Primary Care Setting, Med J Malaysia. 2007; 62 (2):130-133.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25 Tseng CH. Prevalence and risk factors of peripheral arterial obstructive disease in Taiwanese type2 diabetic patients.Angiology 2003; 54 (3): 331-8.</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lastRenderedPageBreak/>
        <w:t>26 Howard BV, Lee ET, Cowan LD, et al. Rising tide of cardiovascular disease in American Indians: the Strong Heart Study. Circulation. 1999; 99: 2389–2395.</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27 Lee ET, Howard BV, Savage PJ, et al. Diabetes and impaired glucose tolerance in three American Indian populations aged 45–74 years: the Strong Heart Study. Diabetes Care. 1995; 18: 599–610.</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28 Chao A, Koh W. Prevalence of peripheral arterial disease in Asians. Apopulation screening study. ANZ J Surg 2003; 73(supp1): A120.</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29 Shana PK, Sengupta N ,Chowdhury S High Prevalence Of Neuropathy And Peripheral arterial Disease In Type 2 Diabetes In a Tertiary Care Centre In Eastern India.The Internet Journal of Endocrinology.2011;6(2).</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30 V. Mohan, G. Premalatha, and N. G. Sastry, “Peripheral vascular disease in non-insulin-dependent diabetes mellitus in South India,” Diabetes Research and Clinical Practice, vol. 27, no. 3, pp. 235–240, 1995.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31 Doza B, Kaur M, Chopra S, Kappor R Cardiovascular Risk Factors and Distributions of the Ankle-Brachial Index among Type 2 Diabetes Mellitus Patients International Journal of Hypertension</w:t>
      </w:r>
      <w:r w:rsidRPr="00CB562F">
        <w:rPr>
          <w:rFonts w:cstheme="minorHAnsi"/>
          <w:color w:val="000000" w:themeColor="text1"/>
        </w:rPr>
        <w:br/>
        <w:t>2012 ;2012.</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32 Tavintharan S, Ei Ei Khaing Nang, Su Chi Lim, Yi Wu, Chin Meng Khoo, Jeannette Lee, Derrick Heng, Suok Kai Chew, Tien Y Wong, E Shyong Tai. Distribution of ankle brachial index and the risk factors of peripheral artery disease in a multi-ethnic Asian population. Vasc Med. 2011; 16(2):87-95.</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33 . Lakka HM, Laaksonen DE, Lakka TA, Niskanen LK, Kumpusalo E, Tuomilehto J,Salonen JT: The metabolic syndrome and total and CVD mortality in middle-aged men. JAMA 288:2709–2716, 2002.</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34 Malik S, Wong ND, Franklin SS, Kamath TV, L’Italien GJ, Pio JR, Williams GR: Impact of the metabolic syndrome on mortality from coronary heart disease, CVD,and all causes in United States adults. Circulation110:1240–1245, 2004</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35 Ford ES: The metabolic syndrome and mortality from CVD and all-causes:findings from the National Health and Nutrition Examination Survey II Mortality Study. Atherosclerosis 173:309 –314, 2004</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36 UK Prospective Diabetes Study (UKPDS) Group: Intensive blood glucose control with sulphonylureas or insulin compared with conventional treatment and risk of complications in patients with type 2 diabetes (UKPDS 33). Lancet. 1998; 352(9131): 837-853.</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37 . Duckworth W, Abraira C, Moritz T, Reda D, Emanuele N, Reaven PD,et al. Glucose control and vascular complications in veterans with type 2 diabetes. N Engl J Med. 2009; 360(2): 129-139.</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38 Gerstein HC, Miller ME, Byington RP, Goff DC Jr, Bigger JT, Buse JB,et al. The Action to Control Cardiovascular Risk in Diabetes Study Group: Effects of intensive glucose lowering in type 2 diabetes. N Engl J Med. 2008; 358(24): 2545-2559.</w:t>
      </w:r>
    </w:p>
    <w:p w:rsidR="00D5390A" w:rsidRPr="00CB562F" w:rsidRDefault="00D5390A" w:rsidP="00D5390A">
      <w:pPr>
        <w:pStyle w:val="NoSpacing"/>
        <w:jc w:val="both"/>
        <w:rPr>
          <w:rFonts w:cstheme="minorHAnsi"/>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39 . Selvin E, Erlinger TP. Prevalence of and risk factors for peripheral arterial disease in the United States. Results from the National Health and Nutrition Examination Survey, 1999-2000. Circulation. 2004; 110(6): 738-743.</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40 . Norman P E, Davis W A, Bruce D G, Davis T M E. Peripheral arterial disease and risk of cardiac death in type 2 diabetes. The Fremantle Diabetes Study. Diabetes Care. 2006; 29(3): 575-580.</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41 McKenna M, Wolfson S, Kuller L. The ratio of ankle and arm arterial pressure as an independent predictor of mortality. Atherosclerosis. 1991; 87(2-3): 119-128.</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42 Leng GC, Fowkes FG, Lee AJ, Dunbar J, Housley E, Rouckley CV. Use of ankle brachial pressure index to predict cardiovascular events and death: a cohort study. BMJ. 1996; 313(7070): 1440-1444.</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43 Ogren M, Hedblad B, Engstrom G, Janzon L. Prevalence and prognostic significance of asymptomatic peripheral arterial disease in 68-year-old men with diabetes. Eur J Vasc Endovasc Surg. 2005; 29(2): 182-189.</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 xml:space="preserve">44 </w:t>
      </w:r>
      <w:hyperlink r:id="rId8" w:history="1">
        <w:r w:rsidRPr="00CB562F">
          <w:rPr>
            <w:rFonts w:cstheme="minorHAnsi"/>
            <w:color w:val="000000" w:themeColor="text1"/>
          </w:rPr>
          <w:t>Mangiafico RA</w:t>
        </w:r>
      </w:hyperlink>
      <w:r w:rsidRPr="00CB562F">
        <w:rPr>
          <w:rFonts w:cstheme="minorHAnsi"/>
          <w:color w:val="000000" w:themeColor="text1"/>
        </w:rPr>
        <w:t>, </w:t>
      </w:r>
      <w:hyperlink r:id="rId9" w:history="1">
        <w:r w:rsidRPr="00CB562F">
          <w:rPr>
            <w:rFonts w:cstheme="minorHAnsi"/>
            <w:color w:val="000000" w:themeColor="text1"/>
          </w:rPr>
          <w:t>Russo E</w:t>
        </w:r>
      </w:hyperlink>
      <w:r w:rsidRPr="00CB562F">
        <w:rPr>
          <w:rFonts w:cstheme="minorHAnsi"/>
          <w:color w:val="000000" w:themeColor="text1"/>
        </w:rPr>
        <w:t>, </w:t>
      </w:r>
      <w:hyperlink r:id="rId10" w:history="1">
        <w:r w:rsidRPr="00CB562F">
          <w:rPr>
            <w:rFonts w:cstheme="minorHAnsi"/>
            <w:color w:val="000000" w:themeColor="text1"/>
          </w:rPr>
          <w:t>Riccobene S</w:t>
        </w:r>
      </w:hyperlink>
      <w:r w:rsidRPr="00CB562F">
        <w:rPr>
          <w:rFonts w:cstheme="minorHAnsi"/>
          <w:color w:val="000000" w:themeColor="text1"/>
        </w:rPr>
        <w:t>, </w:t>
      </w:r>
      <w:hyperlink r:id="rId11" w:history="1">
        <w:r w:rsidRPr="00CB562F">
          <w:rPr>
            <w:rFonts w:cstheme="minorHAnsi"/>
            <w:color w:val="000000" w:themeColor="text1"/>
          </w:rPr>
          <w:t>Pennisi P</w:t>
        </w:r>
      </w:hyperlink>
      <w:r w:rsidRPr="00CB562F">
        <w:rPr>
          <w:rFonts w:cstheme="minorHAnsi"/>
          <w:color w:val="000000" w:themeColor="text1"/>
        </w:rPr>
        <w:t>, </w:t>
      </w:r>
      <w:hyperlink r:id="rId12" w:history="1">
        <w:r w:rsidRPr="00CB562F">
          <w:rPr>
            <w:rFonts w:cstheme="minorHAnsi"/>
            <w:color w:val="000000" w:themeColor="text1"/>
          </w:rPr>
          <w:t>Mangiafico M</w:t>
        </w:r>
      </w:hyperlink>
      <w:r w:rsidRPr="00CB562F">
        <w:rPr>
          <w:rFonts w:cstheme="minorHAnsi"/>
          <w:color w:val="000000" w:themeColor="text1"/>
        </w:rPr>
        <w:t>, </w:t>
      </w:r>
      <w:hyperlink r:id="rId13" w:history="1">
        <w:r w:rsidRPr="00CB562F">
          <w:rPr>
            <w:rFonts w:cstheme="minorHAnsi"/>
            <w:color w:val="000000" w:themeColor="text1"/>
          </w:rPr>
          <w:t>D'Amico F</w:t>
        </w:r>
      </w:hyperlink>
      <w:r w:rsidRPr="00CB562F">
        <w:rPr>
          <w:rFonts w:cstheme="minorHAnsi"/>
          <w:color w:val="000000" w:themeColor="text1"/>
        </w:rPr>
        <w:t>, </w:t>
      </w:r>
      <w:hyperlink r:id="rId14" w:history="1">
        <w:r w:rsidRPr="00CB562F">
          <w:rPr>
            <w:rFonts w:cstheme="minorHAnsi"/>
            <w:color w:val="000000" w:themeColor="text1"/>
          </w:rPr>
          <w:t>Fiore CE</w:t>
        </w:r>
      </w:hyperlink>
      <w:r w:rsidRPr="00CB562F">
        <w:rPr>
          <w:rFonts w:cstheme="minorHAnsi"/>
          <w:color w:val="000000" w:themeColor="text1"/>
        </w:rPr>
        <w:t xml:space="preserve">. Increased prevalence of peripheral arterial disease in osteoporotic postmenopausal women. </w:t>
      </w:r>
      <w:hyperlink r:id="rId15" w:tooltip="Journal of bone and mineral metabolism." w:history="1">
        <w:r w:rsidRPr="00CB562F">
          <w:rPr>
            <w:rFonts w:cstheme="minorHAnsi"/>
            <w:color w:val="000000" w:themeColor="text1"/>
          </w:rPr>
          <w:t>J Bone Miner Metab.</w:t>
        </w:r>
      </w:hyperlink>
      <w:r w:rsidRPr="00CB562F">
        <w:rPr>
          <w:rFonts w:cstheme="minorHAnsi"/>
          <w:color w:val="000000" w:themeColor="text1"/>
        </w:rPr>
        <w:t> 2006;24(2):125-31.</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lastRenderedPageBreak/>
        <w:t>45 Janka HU, Standl E, Mehnert H. Peripheral Vascular Disease in Diabetes Mellitus and its relation to cardiovascular risk factors, screening with the Doppler Ultrasonic Technique. Diabetes Care 1980; 3(2): 207-13.</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46 Katsilambros NL, Tsapogas PC, Arvanitis MP, Tritos NA, Alexiou ZP, Rigas KL. Risk factors for lower extremity arterial disease in non-insulin dependent diabetic persons. Diab Med 1996; 13: 243-46.</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47 E. Selvin and T. P. Erlinger, “Prevalence of and risk factors for peripheral arterial disease in the United States: results from the National Health and Nutrition Examination Survey, 1999-2000,”Circulation, vol. 110, no. 6, pp. 738–743, 2004. </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48 Gornik HL, Creager MA . Contemporary management of peripheral arterial disease: I. cardiovascular risk-factor modification. Cleve Clin J Med 2006;73(suppl 4):S30–S37.</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49 Antithrombotic Trialists’ Collaboration . Collaborative meta-analysis of randomised trials of antiplatelet therapy for prevention of death, myocardial infarction, and stroke in high risk patients.  BMJ 2002;  324: 71–86.</w:t>
      </w:r>
    </w:p>
    <w:p w:rsidR="00D5390A" w:rsidRPr="00CB562F" w:rsidRDefault="00D5390A" w:rsidP="00D5390A">
      <w:pPr>
        <w:pStyle w:val="NoSpacing"/>
        <w:jc w:val="both"/>
        <w:rPr>
          <w:rFonts w:cstheme="minorHAnsi"/>
          <w:color w:val="000000" w:themeColor="text1"/>
        </w:rPr>
      </w:pPr>
      <w:r w:rsidRPr="00CB562F">
        <w:rPr>
          <w:rFonts w:cstheme="minorHAnsi"/>
          <w:color w:val="000000" w:themeColor="text1"/>
        </w:rPr>
        <w:t>50 Heart Protection Study Collaborative Group . Randomized trial of the effects of cholesterol-lowering with simvastatin on peripheral vascular and other major vascular outcomes in 20,536 people with peripheral arterial disease and other high-risk conditions. J Vasc Surg 2007; 45:645–654.</w:t>
      </w:r>
    </w:p>
    <w:p w:rsidR="00D5390A" w:rsidRPr="00CB562F" w:rsidRDefault="00D5390A" w:rsidP="00D5390A">
      <w:pPr>
        <w:pStyle w:val="NoSpacing"/>
        <w:jc w:val="both"/>
        <w:rPr>
          <w:rFonts w:cstheme="minorHAnsi"/>
          <w:b/>
          <w:color w:val="000000" w:themeColor="text1"/>
        </w:rPr>
      </w:pPr>
    </w:p>
    <w:p w:rsidR="00D5390A" w:rsidRPr="00CB562F" w:rsidRDefault="00D5390A" w:rsidP="00D5390A">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7812A0" w:rsidRPr="00D5390A" w:rsidRDefault="007812A0" w:rsidP="00D5390A"/>
    <w:sectPr w:rsidR="007812A0" w:rsidRPr="00D5390A" w:rsidSect="006E2971">
      <w:headerReference w:type="default" r:id="rId16"/>
      <w:footerReference w:type="default" r:id="rId17"/>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1F1" w:rsidRDefault="002911F1" w:rsidP="005C1565">
      <w:pPr>
        <w:spacing w:after="0" w:line="240" w:lineRule="auto"/>
      </w:pPr>
      <w:r>
        <w:separator/>
      </w:r>
    </w:p>
  </w:endnote>
  <w:endnote w:type="continuationSeparator" w:id="1">
    <w:p w:rsidR="002911F1" w:rsidRDefault="002911F1"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D5390A" w:rsidRPr="00D5390A">
        <w:rPr>
          <w:rFonts w:asciiTheme="majorHAnsi" w:hAnsiTheme="majorHAnsi"/>
          <w:noProof/>
        </w:rPr>
        <w:t>119</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1F1" w:rsidRDefault="002911F1" w:rsidP="005C1565">
      <w:pPr>
        <w:spacing w:after="0" w:line="240" w:lineRule="auto"/>
      </w:pPr>
      <w:r>
        <w:separator/>
      </w:r>
    </w:p>
  </w:footnote>
  <w:footnote w:type="continuationSeparator" w:id="1">
    <w:p w:rsidR="002911F1" w:rsidRDefault="002911F1"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1F1"/>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90A"/>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Mangiafico%20RA%5BAuthor%5D&amp;cauthor=true&amp;cauthor_uid=16502119" TargetMode="External"/><Relationship Id="rId13" Type="http://schemas.openxmlformats.org/officeDocument/2006/relationships/hyperlink" Target="http://www.ncbi.nlm.nih.gov/pubmed?term=D'Amico%20F%5BAuthor%5D&amp;cauthor=true&amp;cauthor_uid=165021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term=Mangiafico%20M%5BAuthor%5D&amp;cauthor=true&amp;cauthor_uid=1650211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Pennisi%20P%5BAuthor%5D&amp;cauthor=true&amp;cauthor_uid=16502119" TargetMode="External"/><Relationship Id="rId5" Type="http://schemas.openxmlformats.org/officeDocument/2006/relationships/webSettings" Target="webSettings.xml"/><Relationship Id="rId15" Type="http://schemas.openxmlformats.org/officeDocument/2006/relationships/hyperlink" Target="http://www.ncbi.nlm.nih.gov/pubmed/16502119" TargetMode="External"/><Relationship Id="rId10" Type="http://schemas.openxmlformats.org/officeDocument/2006/relationships/hyperlink" Target="http://www.ncbi.nlm.nih.gov/pubmed?term=Riccobene%20S%5BAuthor%5D&amp;cauthor=true&amp;cauthor_uid=16502119"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ncbi.nlm.nih.gov/pubmed?term=Russo%20E%5BAuthor%5D&amp;cauthor=true&amp;cauthor_uid=16502119" TargetMode="External"/><Relationship Id="rId14" Type="http://schemas.openxmlformats.org/officeDocument/2006/relationships/hyperlink" Target="http://www.ncbi.nlm.nih.gov/pubmed?term=Fiore%20CE%5BAuthor%5D&amp;cauthor=true&amp;cauthor_uid=165021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2017-11-06T08:07:00Z</dcterms:created>
  <dcterms:modified xsi:type="dcterms:W3CDTF">2017-11-06T08:07:00Z</dcterms:modified>
</cp:coreProperties>
</file>