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8FE" w:rsidRPr="00CB562F" w:rsidRDefault="000618FE" w:rsidP="000618FE">
      <w:pPr>
        <w:pStyle w:val="NoSpacing"/>
        <w:jc w:val="center"/>
        <w:rPr>
          <w:rFonts w:cstheme="minorHAnsi"/>
          <w:b/>
          <w:bCs/>
          <w:color w:val="000000" w:themeColor="text1"/>
          <w:sz w:val="28"/>
          <w:szCs w:val="28"/>
        </w:rPr>
      </w:pPr>
      <w:r w:rsidRPr="00CB562F">
        <w:rPr>
          <w:rFonts w:cstheme="minorHAnsi"/>
          <w:b/>
          <w:bCs/>
          <w:color w:val="000000" w:themeColor="text1"/>
          <w:sz w:val="28"/>
          <w:szCs w:val="28"/>
        </w:rPr>
        <w:t xml:space="preserve">Resting Rate Pressure Product In Type 2 Diabetics With And Without Cardiac Autonomic Neuropathy </w:t>
      </w:r>
    </w:p>
    <w:p w:rsidR="000618FE" w:rsidRPr="00CB562F" w:rsidRDefault="000618FE" w:rsidP="000618FE">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Rishu Segan*, Lily Walia**, Naveen Mittal***</w:t>
      </w:r>
    </w:p>
    <w:p w:rsidR="000618FE" w:rsidRPr="00CB562F" w:rsidRDefault="000618FE" w:rsidP="000618FE">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xml:space="preserve">*Lecturer, Deptt. Of Physiology, G.G.S. Medical College, Faridkot - 151203,  **Prof &amp; Head,  Deptt. Of Physiology, DMC &amp; H, Ludhiana – 141001, ***Professor, Deptt. Of Endocrinology, DMC &amp; H, Ludhiana - 141001  </w:t>
      </w:r>
    </w:p>
    <w:p w:rsidR="000618FE" w:rsidRPr="00CB562F" w:rsidRDefault="000618FE" w:rsidP="000618FE">
      <w:pPr>
        <w:pStyle w:val="NoSpacing"/>
        <w:jc w:val="both"/>
        <w:rPr>
          <w:rFonts w:cstheme="minorHAnsi"/>
          <w:color w:val="000000" w:themeColor="text1"/>
        </w:rPr>
      </w:pPr>
      <w:r w:rsidRPr="00CB562F">
        <w:rPr>
          <w:rFonts w:cstheme="minorHAnsi"/>
          <w:b/>
          <w:color w:val="000000" w:themeColor="text1"/>
        </w:rPr>
        <w:t>Abstract</w:t>
      </w:r>
      <w:r w:rsidRPr="00CB562F">
        <w:rPr>
          <w:rFonts w:cstheme="minorHAnsi"/>
          <w:color w:val="000000" w:themeColor="text1"/>
        </w:rPr>
        <w:t xml:space="preserve">: </w:t>
      </w:r>
      <w:r w:rsidRPr="00CB562F">
        <w:rPr>
          <w:rFonts w:cstheme="minorHAnsi"/>
          <w:b/>
          <w:bCs/>
          <w:color w:val="000000" w:themeColor="text1"/>
        </w:rPr>
        <w:t>Background :</w:t>
      </w:r>
      <w:r w:rsidRPr="00CB562F">
        <w:rPr>
          <w:rFonts w:cstheme="minorHAnsi"/>
          <w:color w:val="000000" w:themeColor="text1"/>
        </w:rPr>
        <w:t xml:space="preserve"> The mechanisms of silent death in diabetic cardiac autonomic neuropathy is unclear. </w:t>
      </w:r>
      <w:r w:rsidRPr="00CB562F">
        <w:rPr>
          <w:rFonts w:cstheme="minorHAnsi"/>
          <w:bCs/>
          <w:color w:val="000000" w:themeColor="text1"/>
        </w:rPr>
        <w:t xml:space="preserve">Objective: </w:t>
      </w:r>
      <w:r w:rsidRPr="00CB562F">
        <w:rPr>
          <w:rFonts w:cstheme="minorHAnsi"/>
          <w:color w:val="000000" w:themeColor="text1"/>
        </w:rPr>
        <w:t xml:space="preserve">An insight into resting rate pressure product, indirectly reflecting myocardial oxygen demand, in such patients in attempt to explain sudden adverse cardiovascular events.    </w:t>
      </w:r>
      <w:r w:rsidRPr="00CB562F">
        <w:rPr>
          <w:rFonts w:cstheme="minorHAnsi"/>
          <w:b/>
          <w:bCs/>
          <w:color w:val="000000" w:themeColor="text1"/>
        </w:rPr>
        <w:t xml:space="preserve">Method: </w:t>
      </w:r>
      <w:r w:rsidRPr="00CB562F">
        <w:rPr>
          <w:rFonts w:cstheme="minorHAnsi"/>
          <w:color w:val="000000" w:themeColor="text1"/>
        </w:rPr>
        <w:t xml:space="preserve">Resting rate pressure product was recorded in forty age matched type 2 diabetics, twenty with / twenty without cardiac autonomic neuropathy and twenty controls (n = 60) between the age group of 40 – 60 years. </w:t>
      </w:r>
      <w:r w:rsidRPr="00CB562F">
        <w:rPr>
          <w:rFonts w:cstheme="minorHAnsi"/>
          <w:b/>
          <w:bCs/>
          <w:color w:val="000000" w:themeColor="text1"/>
        </w:rPr>
        <w:t>Results:</w:t>
      </w:r>
      <w:r w:rsidRPr="00CB562F">
        <w:rPr>
          <w:rFonts w:cstheme="minorHAnsi"/>
          <w:color w:val="000000" w:themeColor="text1"/>
        </w:rPr>
        <w:t xml:space="preserve"> The results using one way ANOVA demonstrated (‘SPSS’ software) that resting rate pressure product was significantly increased in cardiac autonomic neuropathy patients compared to non neuropathy patients and controls ( p&lt;0.01) (95%CI). Resting rate pressure product was highest in neuropathy patients. </w:t>
      </w:r>
      <w:r w:rsidRPr="00CB562F">
        <w:rPr>
          <w:rFonts w:cstheme="minorHAnsi"/>
          <w:b/>
          <w:color w:val="000000" w:themeColor="text1"/>
        </w:rPr>
        <w:t>Conclusion</w:t>
      </w:r>
      <w:r w:rsidRPr="00CB562F">
        <w:rPr>
          <w:rFonts w:cstheme="minorHAnsi"/>
          <w:color w:val="000000" w:themeColor="text1"/>
        </w:rPr>
        <w:t xml:space="preserve">: We conclude that diabetic cardiac autonomic neuropathy significantly increases resting rate pressure product and indirectly reflects increased resting myocardial oxygen demand in such patients.    </w:t>
      </w:r>
    </w:p>
    <w:p w:rsidR="000618FE" w:rsidRPr="00CB562F" w:rsidRDefault="000618FE" w:rsidP="000618FE">
      <w:pPr>
        <w:pStyle w:val="NoSpacing"/>
        <w:rPr>
          <w:rFonts w:cstheme="minorHAnsi"/>
          <w:color w:val="000000" w:themeColor="text1"/>
        </w:rPr>
      </w:pPr>
      <w:r w:rsidRPr="00CB562F">
        <w:rPr>
          <w:rFonts w:cstheme="minorHAnsi"/>
          <w:b/>
          <w:color w:val="000000" w:themeColor="text1"/>
        </w:rPr>
        <w:t xml:space="preserve">Key Words – </w:t>
      </w:r>
      <w:r w:rsidRPr="00CB562F">
        <w:rPr>
          <w:rFonts w:cstheme="minorHAnsi"/>
          <w:color w:val="000000" w:themeColor="text1"/>
        </w:rPr>
        <w:t xml:space="preserve">Diabetic cardiac autonomic neuropathy, Rate pressure product, Myocardial oxygen demand </w:t>
      </w:r>
    </w:p>
    <w:p w:rsidR="000618FE" w:rsidRPr="00CB562F" w:rsidRDefault="000618FE" w:rsidP="000618FE">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Rishu Segan, H.No.196/1Raja Garden, Partap Singh Wala, Hambran Road, Ludhiana-141008, Punjab, India, E-mail: seganldh@gmail.com </w:t>
      </w:r>
    </w:p>
    <w:p w:rsidR="000618FE" w:rsidRPr="00CB562F" w:rsidRDefault="000618FE" w:rsidP="000618FE">
      <w:pPr>
        <w:pStyle w:val="NoSpacing"/>
        <w:pBdr>
          <w:top w:val="single" w:sz="12" w:space="1" w:color="auto"/>
          <w:bottom w:val="single" w:sz="12" w:space="1" w:color="auto"/>
        </w:pBdr>
        <w:jc w:val="both"/>
        <w:rPr>
          <w:rFonts w:cstheme="minorHAnsi"/>
          <w:b/>
          <w:color w:val="000000" w:themeColor="text1"/>
          <w:sz w:val="24"/>
          <w:szCs w:val="24"/>
        </w:rPr>
        <w:sectPr w:rsidR="000618FE" w:rsidRPr="00CB562F" w:rsidSect="00334681">
          <w:type w:val="continuous"/>
          <w:pgSz w:w="11907" w:h="16839" w:code="9"/>
          <w:pgMar w:top="1440" w:right="864" w:bottom="864" w:left="1440" w:header="720" w:footer="144" w:gutter="0"/>
          <w:pgNumType w:start="142"/>
          <w:cols w:space="720"/>
          <w:docGrid w:linePitch="360"/>
        </w:sectPr>
      </w:pPr>
    </w:p>
    <w:p w:rsidR="000618FE" w:rsidRPr="00CB562F" w:rsidRDefault="000618FE" w:rsidP="000618FE">
      <w:pPr>
        <w:pStyle w:val="NoSpacing"/>
        <w:jc w:val="both"/>
        <w:rPr>
          <w:rFonts w:cstheme="minorHAnsi"/>
          <w:color w:val="000000" w:themeColor="text1"/>
        </w:rPr>
      </w:pPr>
      <w:r w:rsidRPr="00CB562F">
        <w:rPr>
          <w:rFonts w:cstheme="minorHAnsi"/>
          <w:b/>
          <w:bCs/>
          <w:color w:val="000000" w:themeColor="text1"/>
        </w:rPr>
        <w:lastRenderedPageBreak/>
        <w:t xml:space="preserve">Introduction: </w:t>
      </w:r>
      <w:r w:rsidRPr="00CB562F">
        <w:rPr>
          <w:rFonts w:cstheme="minorHAnsi"/>
          <w:color w:val="000000" w:themeColor="text1"/>
        </w:rPr>
        <w:t>Cardiac autonomic neuropathy is associated with a high risk of unexplained sudden death, possibly related to silent myocardial infarction, cardiorespiratory arrests, cardiac dysrhythmias and hypoxia</w:t>
      </w:r>
      <w:r w:rsidRPr="00CB562F">
        <w:rPr>
          <w:rFonts w:cstheme="minorHAnsi"/>
          <w:color w:val="000000" w:themeColor="text1"/>
          <w:vertAlign w:val="superscript"/>
        </w:rPr>
        <w:t>1</w:t>
      </w:r>
      <w:r w:rsidRPr="00CB562F">
        <w:rPr>
          <w:rFonts w:cstheme="minorHAnsi"/>
          <w:color w:val="000000" w:themeColor="text1"/>
        </w:rPr>
        <w:t>.</w:t>
      </w:r>
    </w:p>
    <w:p w:rsidR="000618FE" w:rsidRPr="00CB562F" w:rsidRDefault="000618FE" w:rsidP="000618FE">
      <w:pPr>
        <w:pStyle w:val="NoSpacing"/>
        <w:jc w:val="both"/>
        <w:rPr>
          <w:rFonts w:cstheme="minorHAnsi"/>
          <w:b/>
          <w:color w:val="000000" w:themeColor="text1"/>
        </w:rPr>
      </w:pPr>
    </w:p>
    <w:p w:rsidR="000618FE" w:rsidRPr="00CB562F" w:rsidRDefault="000618FE" w:rsidP="000618FE">
      <w:pPr>
        <w:pStyle w:val="NoSpacing"/>
        <w:jc w:val="both"/>
        <w:rPr>
          <w:rFonts w:cstheme="minorHAnsi"/>
          <w:color w:val="000000" w:themeColor="text1"/>
        </w:rPr>
      </w:pPr>
      <w:r w:rsidRPr="00CB562F">
        <w:rPr>
          <w:rFonts w:cstheme="minorHAnsi"/>
          <w:color w:val="000000" w:themeColor="text1"/>
        </w:rPr>
        <w:t xml:space="preserve">We tried to observe resting rate pressure product, an indirect indicator of myocardial oxygen demand, in diabetic cardiac autonomic neuropathy patients which could possibly help in understanding silent adverse cardiovascular events occurring in this subset of patients. Studies in English peer reviewed literature have not observed it in this subset of patients. </w:t>
      </w:r>
    </w:p>
    <w:p w:rsidR="000618FE" w:rsidRPr="00CB562F" w:rsidRDefault="000618FE" w:rsidP="000618FE">
      <w:pPr>
        <w:pStyle w:val="NoSpacing"/>
        <w:jc w:val="both"/>
        <w:rPr>
          <w:rFonts w:cstheme="minorHAnsi"/>
          <w:b/>
          <w:bCs/>
          <w:color w:val="000000" w:themeColor="text1"/>
        </w:rPr>
      </w:pPr>
    </w:p>
    <w:p w:rsidR="000618FE" w:rsidRPr="00CB562F" w:rsidRDefault="000618FE" w:rsidP="000618FE">
      <w:pPr>
        <w:pStyle w:val="NoSpacing"/>
        <w:jc w:val="both"/>
        <w:rPr>
          <w:rFonts w:cstheme="minorHAnsi"/>
          <w:color w:val="000000" w:themeColor="text1"/>
        </w:rPr>
      </w:pPr>
      <w:r w:rsidRPr="00CB562F">
        <w:rPr>
          <w:rFonts w:cstheme="minorHAnsi"/>
          <w:b/>
          <w:bCs/>
          <w:color w:val="000000" w:themeColor="text1"/>
        </w:rPr>
        <w:t xml:space="preserve">Method: </w:t>
      </w:r>
      <w:r w:rsidRPr="00CB562F">
        <w:rPr>
          <w:rFonts w:cstheme="minorHAnsi"/>
          <w:color w:val="000000" w:themeColor="text1"/>
        </w:rPr>
        <w:t>This study was approved by the Institutional Ethical Committee of our Hospital</w:t>
      </w:r>
      <w:r w:rsidRPr="00CB562F">
        <w:rPr>
          <w:rFonts w:cstheme="minorHAnsi"/>
          <w:bCs/>
          <w:color w:val="000000" w:themeColor="text1"/>
        </w:rPr>
        <w:t xml:space="preserve"> in</w:t>
      </w:r>
      <w:r w:rsidRPr="00CB562F">
        <w:rPr>
          <w:rFonts w:cstheme="minorHAnsi"/>
          <w:b/>
          <w:bCs/>
          <w:color w:val="000000" w:themeColor="text1"/>
        </w:rPr>
        <w:t xml:space="preserve"> </w:t>
      </w:r>
      <w:r w:rsidRPr="00CB562F">
        <w:rPr>
          <w:rFonts w:cstheme="minorHAnsi"/>
          <w:bCs/>
          <w:color w:val="000000" w:themeColor="text1"/>
        </w:rPr>
        <w:t>accordance with the Helsinki Declaration of 1975.</w:t>
      </w:r>
      <w:r w:rsidRPr="00CB562F">
        <w:rPr>
          <w:rFonts w:cstheme="minorHAnsi"/>
          <w:color w:val="000000" w:themeColor="text1"/>
        </w:rPr>
        <w:t xml:space="preserve"> </w:t>
      </w:r>
    </w:p>
    <w:p w:rsidR="000618FE" w:rsidRPr="00CB562F" w:rsidRDefault="000618FE" w:rsidP="000618FE">
      <w:pPr>
        <w:pStyle w:val="NoSpacing"/>
        <w:jc w:val="both"/>
        <w:rPr>
          <w:rFonts w:cstheme="minorHAnsi"/>
          <w:color w:val="000000" w:themeColor="text1"/>
        </w:rPr>
      </w:pPr>
      <w:r w:rsidRPr="00CB562F">
        <w:rPr>
          <w:rFonts w:cstheme="minorHAnsi"/>
          <w:color w:val="000000" w:themeColor="text1"/>
        </w:rPr>
        <w:t>Study was done on total 60 subjects of either sex between 40 – 60 years taken from a tertiary health care centre in North India - 40 patients with type 2 diabetes mellitus with a duration of diabetes of 8-12 years and 20 healthy controls.</w:t>
      </w:r>
    </w:p>
    <w:p w:rsidR="000618FE" w:rsidRPr="00CB562F" w:rsidRDefault="000618FE" w:rsidP="000618FE">
      <w:pPr>
        <w:pStyle w:val="NoSpacing"/>
        <w:jc w:val="both"/>
        <w:rPr>
          <w:rFonts w:cstheme="minorHAnsi"/>
          <w:color w:val="000000" w:themeColor="text1"/>
        </w:rPr>
      </w:pPr>
    </w:p>
    <w:p w:rsidR="000618FE" w:rsidRPr="00CB562F" w:rsidRDefault="000618FE" w:rsidP="000618FE">
      <w:pPr>
        <w:pStyle w:val="NoSpacing"/>
        <w:jc w:val="both"/>
        <w:rPr>
          <w:rFonts w:cstheme="minorHAnsi"/>
          <w:color w:val="000000" w:themeColor="text1"/>
        </w:rPr>
      </w:pPr>
      <w:r w:rsidRPr="00CB562F">
        <w:rPr>
          <w:rFonts w:cstheme="minorHAnsi"/>
          <w:color w:val="000000" w:themeColor="text1"/>
        </w:rPr>
        <w:t xml:space="preserve">Fasting / Random capillary glucose was measured using glucometer. Details of history and examination were recorded on a proforma. Informed consent was taken from all subjects before the recording the blood pressure and heart rate. </w:t>
      </w:r>
    </w:p>
    <w:p w:rsidR="000618FE" w:rsidRPr="00CB562F" w:rsidRDefault="000618FE" w:rsidP="000618FE">
      <w:pPr>
        <w:pStyle w:val="NoSpacing"/>
        <w:jc w:val="both"/>
        <w:rPr>
          <w:rFonts w:cstheme="minorHAnsi"/>
          <w:color w:val="000000" w:themeColor="text1"/>
        </w:rPr>
      </w:pPr>
      <w:r w:rsidRPr="00CB562F">
        <w:rPr>
          <w:rFonts w:cstheme="minorHAnsi"/>
          <w:color w:val="000000" w:themeColor="text1"/>
        </w:rPr>
        <w:t xml:space="preserve">Resting blood pressure and heart rate were recorded in all the subjects supine, at complete physical and mental rest. Blood Pressure was recorded using sphygmomanometer and heart </w:t>
      </w:r>
      <w:r w:rsidRPr="00CB562F">
        <w:rPr>
          <w:rFonts w:cstheme="minorHAnsi"/>
          <w:color w:val="000000" w:themeColor="text1"/>
        </w:rPr>
        <w:lastRenderedPageBreak/>
        <w:t>rate calculated from lead II on cardiofax ECG machine (Medicaid Systems).</w:t>
      </w:r>
    </w:p>
    <w:p w:rsidR="000618FE" w:rsidRPr="00CB562F" w:rsidRDefault="000618FE" w:rsidP="000618FE">
      <w:pPr>
        <w:pStyle w:val="NoSpacing"/>
        <w:jc w:val="both"/>
        <w:rPr>
          <w:rFonts w:cstheme="minorHAnsi"/>
          <w:color w:val="000000" w:themeColor="text1"/>
        </w:rPr>
      </w:pPr>
      <w:r w:rsidRPr="00CB562F">
        <w:rPr>
          <w:rFonts w:cstheme="minorHAnsi"/>
          <w:color w:val="000000" w:themeColor="text1"/>
        </w:rPr>
        <w:t xml:space="preserve"> </w:t>
      </w:r>
    </w:p>
    <w:p w:rsidR="000618FE" w:rsidRPr="00CB562F" w:rsidRDefault="000618FE" w:rsidP="000618FE">
      <w:pPr>
        <w:pStyle w:val="NoSpacing"/>
        <w:jc w:val="both"/>
        <w:rPr>
          <w:rFonts w:cstheme="minorHAnsi"/>
          <w:color w:val="000000" w:themeColor="text1"/>
        </w:rPr>
      </w:pPr>
      <w:r w:rsidRPr="00CB562F">
        <w:rPr>
          <w:rFonts w:cstheme="minorHAnsi"/>
          <w:color w:val="000000" w:themeColor="text1"/>
        </w:rPr>
        <w:t xml:space="preserve">                                            60 x 25</w:t>
      </w:r>
      <w:r w:rsidRPr="00CB562F">
        <w:rPr>
          <w:rFonts w:cstheme="minorHAnsi"/>
          <w:color w:val="000000" w:themeColor="text1"/>
        </w:rPr>
        <w:tab/>
        <w:t xml:space="preserve">                     1500</w:t>
      </w:r>
    </w:p>
    <w:p w:rsidR="000618FE" w:rsidRPr="00CB562F" w:rsidRDefault="000618FE" w:rsidP="000618FE">
      <w:pPr>
        <w:pStyle w:val="NoSpacing"/>
        <w:jc w:val="both"/>
        <w:rPr>
          <w:rFonts w:cstheme="minorHAnsi"/>
          <w:color w:val="000000" w:themeColor="text1"/>
        </w:rPr>
      </w:pPr>
      <w:r w:rsidRPr="00CB562F">
        <w:rPr>
          <w:rFonts w:cstheme="minorHAnsi"/>
          <w:color w:val="000000" w:themeColor="text1"/>
          <w:kern w:val="32"/>
        </w:rPr>
        <w:t>Heart Rate</w:t>
      </w:r>
      <w:r w:rsidRPr="00CB562F">
        <w:rPr>
          <w:rFonts w:cstheme="minorHAnsi"/>
          <w:b/>
          <w:bCs/>
          <w:color w:val="000000" w:themeColor="text1"/>
          <w:kern w:val="32"/>
        </w:rPr>
        <w:tab/>
        <w:t xml:space="preserve">=     ----------------  =     ------------------       </w:t>
      </w:r>
      <w:r w:rsidRPr="00CB562F">
        <w:rPr>
          <w:rFonts w:cstheme="minorHAnsi"/>
          <w:color w:val="000000" w:themeColor="text1"/>
        </w:rPr>
        <w:tab/>
        <w:t xml:space="preserve">                     R – R interval        R – R interval</w:t>
      </w:r>
    </w:p>
    <w:p w:rsidR="000618FE" w:rsidRPr="00CB562F" w:rsidRDefault="000618FE" w:rsidP="000618FE">
      <w:pPr>
        <w:pStyle w:val="NoSpacing"/>
        <w:jc w:val="both"/>
        <w:rPr>
          <w:rFonts w:cstheme="minorHAnsi"/>
          <w:color w:val="000000" w:themeColor="text1"/>
        </w:rPr>
      </w:pPr>
    </w:p>
    <w:p w:rsidR="000618FE" w:rsidRPr="00CB562F" w:rsidRDefault="000618FE" w:rsidP="000618FE">
      <w:pPr>
        <w:pStyle w:val="NoSpacing"/>
        <w:jc w:val="both"/>
        <w:rPr>
          <w:rFonts w:cstheme="minorHAnsi"/>
          <w:color w:val="000000" w:themeColor="text1"/>
        </w:rPr>
      </w:pPr>
      <w:r w:rsidRPr="00CB562F">
        <w:rPr>
          <w:rFonts w:cstheme="minorHAnsi"/>
          <w:color w:val="000000" w:themeColor="text1"/>
        </w:rPr>
        <w:t>Autonomic neuropathy was clinically assessed as postural fall in systolic BP &gt; 30 mm Hg, cardiac involvement assessed as impaired response to hand grip.</w:t>
      </w:r>
      <w:r w:rsidRPr="00CB562F">
        <w:rPr>
          <w:rFonts w:cstheme="minorHAnsi"/>
          <w:color w:val="000000" w:themeColor="text1"/>
          <w:vertAlign w:val="superscript"/>
        </w:rPr>
        <w:t xml:space="preserve">2  </w:t>
      </w:r>
      <w:r w:rsidRPr="00CB562F">
        <w:rPr>
          <w:rFonts w:cstheme="minorHAnsi"/>
          <w:color w:val="000000" w:themeColor="text1"/>
        </w:rPr>
        <w:t xml:space="preserve"> The subject was asked to hold hand grip dynamometer in dominant hand at 30% of maximum grip strength for three minutes. A rise in diastolic blood pressure 10mm Hg or less is abnormal, an indicator of sympathetic insuffiency.</w:t>
      </w:r>
      <w:r w:rsidRPr="00CB562F">
        <w:rPr>
          <w:rFonts w:cstheme="minorHAnsi"/>
          <w:color w:val="000000" w:themeColor="text1"/>
          <w:vertAlign w:val="superscript"/>
        </w:rPr>
        <w:t xml:space="preserve">3 </w:t>
      </w:r>
      <w:r w:rsidRPr="00CB562F">
        <w:rPr>
          <w:rFonts w:cstheme="minorHAnsi"/>
          <w:color w:val="000000" w:themeColor="text1"/>
        </w:rPr>
        <w:t>Rate Pressure Product was calculated as a product of heart rate and systolic blood pressure.</w:t>
      </w:r>
      <w:r w:rsidRPr="00CB562F">
        <w:rPr>
          <w:rFonts w:cstheme="minorHAnsi"/>
          <w:color w:val="000000" w:themeColor="text1"/>
          <w:vertAlign w:val="superscript"/>
        </w:rPr>
        <w:t>4</w:t>
      </w:r>
      <w:r w:rsidRPr="00CB562F">
        <w:rPr>
          <w:rFonts w:cstheme="minorHAnsi"/>
          <w:color w:val="000000" w:themeColor="text1"/>
        </w:rPr>
        <w:t xml:space="preserve"> </w:t>
      </w:r>
    </w:p>
    <w:p w:rsidR="000618FE" w:rsidRPr="00CB562F" w:rsidRDefault="000618FE" w:rsidP="000618FE">
      <w:pPr>
        <w:pStyle w:val="NoSpacing"/>
        <w:jc w:val="both"/>
        <w:rPr>
          <w:rFonts w:cstheme="minorHAnsi"/>
          <w:b/>
          <w:bCs/>
          <w:color w:val="000000" w:themeColor="text1"/>
          <w:vertAlign w:val="superscript"/>
        </w:rPr>
      </w:pPr>
      <w:r w:rsidRPr="00CB562F">
        <w:rPr>
          <w:rFonts w:cstheme="minorHAnsi"/>
          <w:b/>
          <w:color w:val="000000" w:themeColor="text1"/>
        </w:rPr>
        <w:t>RPP</w:t>
      </w:r>
      <w:r w:rsidRPr="00CB562F">
        <w:rPr>
          <w:rFonts w:cstheme="minorHAnsi"/>
          <w:color w:val="000000" w:themeColor="text1"/>
        </w:rPr>
        <w:t xml:space="preserve"> </w:t>
      </w:r>
      <w:r w:rsidRPr="00CB562F">
        <w:rPr>
          <w:rFonts w:cstheme="minorHAnsi"/>
          <w:b/>
          <w:bCs/>
          <w:color w:val="000000" w:themeColor="text1"/>
        </w:rPr>
        <w:t>= Systolic Pressure in mm Hg x Heart Rate in beats/min x 10</w:t>
      </w:r>
      <w:r w:rsidRPr="00CB562F">
        <w:rPr>
          <w:rFonts w:cstheme="minorHAnsi"/>
          <w:b/>
          <w:bCs/>
          <w:color w:val="000000" w:themeColor="text1"/>
          <w:vertAlign w:val="superscript"/>
        </w:rPr>
        <w:t xml:space="preserve">-2 </w:t>
      </w:r>
    </w:p>
    <w:p w:rsidR="000618FE" w:rsidRPr="00CB562F" w:rsidRDefault="000618FE" w:rsidP="000618FE">
      <w:pPr>
        <w:pStyle w:val="NoSpacing"/>
        <w:jc w:val="both"/>
        <w:rPr>
          <w:rFonts w:cstheme="minorHAnsi"/>
          <w:color w:val="000000" w:themeColor="text1"/>
        </w:rPr>
      </w:pPr>
    </w:p>
    <w:p w:rsidR="000618FE" w:rsidRPr="00CB562F" w:rsidRDefault="000618FE" w:rsidP="000618FE">
      <w:pPr>
        <w:pStyle w:val="NoSpacing"/>
        <w:jc w:val="both"/>
        <w:rPr>
          <w:rFonts w:cstheme="minorHAnsi"/>
          <w:color w:val="000000" w:themeColor="text1"/>
        </w:rPr>
      </w:pPr>
      <w:r w:rsidRPr="00CB562F">
        <w:rPr>
          <w:rFonts w:cstheme="minorHAnsi"/>
          <w:color w:val="000000" w:themeColor="text1"/>
        </w:rPr>
        <w:t>The results were analysed using one way ANOVA (‘SPSS’ software).</w:t>
      </w:r>
    </w:p>
    <w:p w:rsidR="000618FE" w:rsidRPr="00CB562F" w:rsidRDefault="000618FE" w:rsidP="000618FE">
      <w:pPr>
        <w:pStyle w:val="NoSpacing"/>
        <w:jc w:val="both"/>
        <w:rPr>
          <w:rFonts w:cstheme="minorHAnsi"/>
          <w:b/>
          <w:color w:val="000000" w:themeColor="text1"/>
        </w:rPr>
      </w:pPr>
    </w:p>
    <w:p w:rsidR="000618FE" w:rsidRPr="00CB562F" w:rsidRDefault="000618FE" w:rsidP="000618FE">
      <w:pPr>
        <w:pStyle w:val="NoSpacing"/>
        <w:jc w:val="both"/>
        <w:rPr>
          <w:rFonts w:cstheme="minorHAnsi"/>
          <w:color w:val="000000" w:themeColor="text1"/>
        </w:rPr>
      </w:pPr>
      <w:r w:rsidRPr="00CB562F">
        <w:rPr>
          <w:rFonts w:cstheme="minorHAnsi"/>
          <w:b/>
          <w:color w:val="000000" w:themeColor="text1"/>
        </w:rPr>
        <w:t xml:space="preserve">Subjects: </w:t>
      </w:r>
      <w:r w:rsidRPr="00CB562F">
        <w:rPr>
          <w:rFonts w:cstheme="minorHAnsi"/>
          <w:color w:val="000000" w:themeColor="text1"/>
        </w:rPr>
        <w:t>They were divided into 3 groups of 20 subjects each .</w:t>
      </w:r>
    </w:p>
    <w:p w:rsidR="000618FE" w:rsidRPr="00CB562F" w:rsidRDefault="000618FE" w:rsidP="000618FE">
      <w:pPr>
        <w:pStyle w:val="NoSpacing"/>
        <w:jc w:val="both"/>
        <w:rPr>
          <w:rFonts w:cstheme="minorHAnsi"/>
          <w:color w:val="000000" w:themeColor="text1"/>
        </w:rPr>
      </w:pPr>
      <w:r w:rsidRPr="00CB562F">
        <w:rPr>
          <w:rFonts w:cstheme="minorHAnsi"/>
          <w:b/>
          <w:bCs/>
          <w:color w:val="000000" w:themeColor="text1"/>
          <w:u w:val="single"/>
        </w:rPr>
        <w:t>Group A</w:t>
      </w:r>
      <w:r w:rsidRPr="00CB562F">
        <w:rPr>
          <w:rFonts w:cstheme="minorHAnsi"/>
          <w:color w:val="000000" w:themeColor="text1"/>
        </w:rPr>
        <w:t xml:space="preserve"> : Patients having  type 2 diabetes with clinically evident diabetic cardiac autonomic neuropathy. </w:t>
      </w:r>
    </w:p>
    <w:p w:rsidR="000618FE" w:rsidRPr="00CB562F" w:rsidRDefault="000618FE" w:rsidP="000618FE">
      <w:pPr>
        <w:pStyle w:val="NoSpacing"/>
        <w:jc w:val="both"/>
        <w:rPr>
          <w:rFonts w:cstheme="minorHAnsi"/>
          <w:color w:val="000000" w:themeColor="text1"/>
        </w:rPr>
      </w:pPr>
      <w:r w:rsidRPr="00CB562F">
        <w:rPr>
          <w:rFonts w:cstheme="minorHAnsi"/>
          <w:b/>
          <w:bCs/>
          <w:color w:val="000000" w:themeColor="text1"/>
          <w:u w:val="single"/>
        </w:rPr>
        <w:t>Group B</w:t>
      </w:r>
      <w:r w:rsidRPr="00CB562F">
        <w:rPr>
          <w:rFonts w:cstheme="minorHAnsi"/>
          <w:color w:val="000000" w:themeColor="text1"/>
        </w:rPr>
        <w:t xml:space="preserve"> : Patients having  type 2 diabetes without diabetic cardiac autonomic neuropathy. </w:t>
      </w:r>
      <w:r w:rsidRPr="00CB562F">
        <w:rPr>
          <w:rFonts w:cstheme="minorHAnsi"/>
          <w:b/>
          <w:bCs/>
          <w:color w:val="000000" w:themeColor="text1"/>
          <w:u w:val="single"/>
        </w:rPr>
        <w:t>Exclusion Criteria for patients</w:t>
      </w:r>
      <w:r w:rsidRPr="00CB562F">
        <w:rPr>
          <w:rFonts w:cstheme="minorHAnsi"/>
          <w:color w:val="000000" w:themeColor="text1"/>
        </w:rPr>
        <w:t xml:space="preserve">: Ischemic Heart Disease, Congestive heart failure and Cardiac arrhythmias. Patients on α blockers, β blockers, </w:t>
      </w:r>
      <w:r w:rsidRPr="00CB562F">
        <w:rPr>
          <w:rFonts w:cstheme="minorHAnsi"/>
          <w:color w:val="000000" w:themeColor="text1"/>
        </w:rPr>
        <w:lastRenderedPageBreak/>
        <w:t>calcium channel blockers, diuretics,  antiarrhythmics, antipsychotics were excluded from study.</w:t>
      </w:r>
    </w:p>
    <w:p w:rsidR="000618FE" w:rsidRPr="00CB562F" w:rsidRDefault="000618FE" w:rsidP="000618FE">
      <w:pPr>
        <w:pStyle w:val="NoSpacing"/>
        <w:jc w:val="both"/>
        <w:rPr>
          <w:rFonts w:cstheme="minorHAnsi"/>
          <w:color w:val="000000" w:themeColor="text1"/>
        </w:rPr>
      </w:pPr>
      <w:r w:rsidRPr="00CB562F">
        <w:rPr>
          <w:rFonts w:cstheme="minorHAnsi"/>
          <w:b/>
          <w:bCs/>
          <w:color w:val="000000" w:themeColor="text1"/>
          <w:u w:val="single"/>
        </w:rPr>
        <w:t xml:space="preserve">Group  C </w:t>
      </w:r>
      <w:r w:rsidRPr="00CB562F">
        <w:rPr>
          <w:rFonts w:cstheme="minorHAnsi"/>
          <w:color w:val="000000" w:themeColor="text1"/>
        </w:rPr>
        <w:t>:  20 healthy age-matched controls (free from any systemic illness) were taken.</w:t>
      </w:r>
    </w:p>
    <w:p w:rsidR="000618FE" w:rsidRPr="00CB562F" w:rsidRDefault="000618FE" w:rsidP="000618FE">
      <w:pPr>
        <w:pStyle w:val="NoSpacing"/>
        <w:jc w:val="both"/>
        <w:rPr>
          <w:rFonts w:cstheme="minorHAnsi"/>
          <w:b/>
          <w:color w:val="000000" w:themeColor="text1"/>
        </w:rPr>
      </w:pPr>
      <w:r w:rsidRPr="00CB562F">
        <w:rPr>
          <w:rFonts w:cstheme="minorHAnsi"/>
          <w:color w:val="000000" w:themeColor="text1"/>
        </w:rPr>
        <w:t xml:space="preserve"> </w:t>
      </w:r>
    </w:p>
    <w:p w:rsidR="000618FE" w:rsidRPr="00CB562F" w:rsidRDefault="000618FE" w:rsidP="000618FE">
      <w:pPr>
        <w:pStyle w:val="NoSpacing"/>
        <w:jc w:val="both"/>
        <w:rPr>
          <w:rFonts w:cstheme="minorHAnsi"/>
          <w:color w:val="000000" w:themeColor="text1"/>
        </w:rPr>
      </w:pPr>
      <w:r w:rsidRPr="00CB562F">
        <w:rPr>
          <w:rFonts w:cstheme="minorHAnsi"/>
          <w:b/>
          <w:color w:val="000000" w:themeColor="text1"/>
        </w:rPr>
        <w:lastRenderedPageBreak/>
        <w:t xml:space="preserve">Results: </w:t>
      </w:r>
      <w:r w:rsidRPr="00CB562F">
        <w:rPr>
          <w:rFonts w:cstheme="minorHAnsi"/>
          <w:color w:val="000000" w:themeColor="text1"/>
        </w:rPr>
        <w:t>Resting rate pressure product was significantly increased in diabetic cardiac autonomic neuropathy patients compared to non neuropathy patients and controls (p&lt;0.01) (95%CI). Resting rate pressure product was highest in neuropathy patients.</w:t>
      </w:r>
    </w:p>
    <w:p w:rsidR="000618FE" w:rsidRPr="00CB562F" w:rsidRDefault="000618FE" w:rsidP="000618FE">
      <w:pPr>
        <w:pStyle w:val="NoSpacing"/>
        <w:jc w:val="both"/>
        <w:rPr>
          <w:rFonts w:cstheme="minorHAnsi"/>
          <w:color w:val="000000" w:themeColor="text1"/>
          <w:lang w:val="en-IN" w:eastAsia="en-IN"/>
        </w:rPr>
        <w:sectPr w:rsidR="000618FE" w:rsidRPr="00CB562F" w:rsidSect="006E2971">
          <w:type w:val="continuous"/>
          <w:pgSz w:w="11907" w:h="16839" w:code="9"/>
          <w:pgMar w:top="1440" w:right="864" w:bottom="864" w:left="1440" w:header="720" w:footer="144" w:gutter="0"/>
          <w:cols w:num="2" w:space="720"/>
          <w:docGrid w:linePitch="360"/>
        </w:sectPr>
      </w:pPr>
    </w:p>
    <w:tbl>
      <w:tblPr>
        <w:tblW w:w="15995" w:type="dxa"/>
        <w:tblInd w:w="-601" w:type="dxa"/>
        <w:tblLook w:val="04A0"/>
      </w:tblPr>
      <w:tblGrid>
        <w:gridCol w:w="694"/>
        <w:gridCol w:w="9371"/>
        <w:gridCol w:w="597"/>
        <w:gridCol w:w="809"/>
        <w:gridCol w:w="809"/>
        <w:gridCol w:w="774"/>
        <w:gridCol w:w="35"/>
        <w:gridCol w:w="517"/>
        <w:gridCol w:w="142"/>
        <w:gridCol w:w="306"/>
        <w:gridCol w:w="246"/>
        <w:gridCol w:w="159"/>
        <w:gridCol w:w="289"/>
        <w:gridCol w:w="159"/>
        <w:gridCol w:w="246"/>
        <w:gridCol w:w="148"/>
        <w:gridCol w:w="300"/>
        <w:gridCol w:w="394"/>
      </w:tblGrid>
      <w:tr w:rsidR="000618FE" w:rsidRPr="00CB562F" w:rsidTr="004F39E6">
        <w:trPr>
          <w:gridBefore w:val="1"/>
          <w:gridAfter w:val="11"/>
          <w:wBefore w:w="694" w:type="dxa"/>
          <w:wAfter w:w="2906" w:type="dxa"/>
          <w:trHeight w:val="300"/>
        </w:trPr>
        <w:tc>
          <w:tcPr>
            <w:tcW w:w="9371"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p w:rsidR="000618FE" w:rsidRPr="00CB562F" w:rsidRDefault="000618FE" w:rsidP="004F39E6">
            <w:pPr>
              <w:pStyle w:val="NoSpacing"/>
              <w:jc w:val="both"/>
              <w:rPr>
                <w:rFonts w:cstheme="minorHAnsi"/>
                <w:b/>
                <w:bCs/>
                <w:color w:val="000000" w:themeColor="text1"/>
                <w:lang w:val="en-IN" w:eastAsia="en-IN"/>
              </w:rPr>
            </w:pPr>
            <w:r w:rsidRPr="00CB562F">
              <w:rPr>
                <w:rFonts w:cstheme="minorHAnsi"/>
                <w:b/>
                <w:bCs/>
                <w:color w:val="000000" w:themeColor="text1"/>
                <w:lang w:val="en-IN" w:eastAsia="en-IN"/>
              </w:rPr>
              <w:t>Table 1: Resting Rate Pressure Product in patients with/without diabetic cardiac autonomic neuropathy &amp; controls</w:t>
            </w:r>
          </w:p>
        </w:tc>
        <w:tc>
          <w:tcPr>
            <w:tcW w:w="597"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r w:rsidRPr="00CB562F">
              <w:rPr>
                <w:rFonts w:cstheme="minorHAnsi"/>
                <w:color w:val="000000" w:themeColor="text1"/>
                <w:lang w:val="en-IN" w:eastAsia="en-IN"/>
              </w:rPr>
              <w:t xml:space="preserve">  </w:t>
            </w:r>
          </w:p>
          <w:p w:rsidR="000618FE" w:rsidRPr="00CB562F" w:rsidRDefault="000618FE" w:rsidP="004F39E6">
            <w:pPr>
              <w:pStyle w:val="NoSpacing"/>
              <w:jc w:val="both"/>
              <w:rPr>
                <w:rFonts w:cstheme="minorHAnsi"/>
                <w:color w:val="000000" w:themeColor="text1"/>
                <w:lang w:val="en-IN" w:eastAsia="en-IN"/>
              </w:rPr>
            </w:pPr>
          </w:p>
          <w:p w:rsidR="000618FE" w:rsidRPr="00CB562F" w:rsidRDefault="000618FE" w:rsidP="004F39E6">
            <w:pPr>
              <w:pStyle w:val="NoSpacing"/>
              <w:jc w:val="both"/>
              <w:rPr>
                <w:rFonts w:cstheme="minorHAnsi"/>
                <w:color w:val="000000" w:themeColor="text1"/>
                <w:lang w:val="en-IN" w:eastAsia="en-IN"/>
              </w:rPr>
            </w:pPr>
            <w:r w:rsidRPr="00CB562F">
              <w:rPr>
                <w:rFonts w:cstheme="minorHAnsi"/>
                <w:color w:val="000000" w:themeColor="text1"/>
                <w:lang w:val="en-IN" w:eastAsia="en-IN"/>
              </w:rPr>
              <w:t xml:space="preserve">           </w:t>
            </w:r>
          </w:p>
        </w:tc>
        <w:tc>
          <w:tcPr>
            <w:tcW w:w="809"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809"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809" w:type="dxa"/>
            <w:gridSpan w:val="2"/>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r>
      <w:tr w:rsidR="000618FE" w:rsidRPr="00CB562F" w:rsidTr="004F39E6">
        <w:trPr>
          <w:gridAfter w:val="2"/>
          <w:wAfter w:w="694" w:type="dxa"/>
          <w:trHeight w:val="255"/>
        </w:trPr>
        <w:tc>
          <w:tcPr>
            <w:tcW w:w="13054" w:type="dxa"/>
            <w:gridSpan w:val="6"/>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552" w:type="dxa"/>
            <w:gridSpan w:val="2"/>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448" w:type="dxa"/>
            <w:gridSpan w:val="2"/>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405" w:type="dxa"/>
            <w:gridSpan w:val="2"/>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448" w:type="dxa"/>
            <w:gridSpan w:val="2"/>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394" w:type="dxa"/>
            <w:gridSpan w:val="2"/>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r>
      <w:tr w:rsidR="000618FE" w:rsidRPr="00CB562F" w:rsidTr="004F39E6">
        <w:trPr>
          <w:gridBefore w:val="1"/>
          <w:wBefore w:w="694" w:type="dxa"/>
          <w:trHeight w:val="300"/>
        </w:trPr>
        <w:tc>
          <w:tcPr>
            <w:tcW w:w="13054" w:type="dxa"/>
            <w:gridSpan w:val="8"/>
            <w:tcBorders>
              <w:top w:val="nil"/>
              <w:left w:val="nil"/>
              <w:bottom w:val="nil"/>
              <w:right w:val="nil"/>
            </w:tcBorders>
            <w:shd w:val="clear" w:color="auto" w:fill="auto"/>
            <w:noWrap/>
            <w:vAlign w:val="bottom"/>
            <w:hideMark/>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80"/>
              <w:gridCol w:w="1127"/>
              <w:gridCol w:w="1306"/>
              <w:gridCol w:w="1127"/>
              <w:gridCol w:w="999"/>
              <w:gridCol w:w="1025"/>
              <w:gridCol w:w="770"/>
              <w:gridCol w:w="899"/>
              <w:gridCol w:w="697"/>
            </w:tblGrid>
            <w:tr w:rsidR="000618FE" w:rsidRPr="00CB562F" w:rsidTr="004F39E6">
              <w:tc>
                <w:tcPr>
                  <w:tcW w:w="1580" w:type="dxa"/>
                </w:tcPr>
                <w:p w:rsidR="000618FE" w:rsidRPr="00CB562F" w:rsidRDefault="000618FE" w:rsidP="004F39E6">
                  <w:pPr>
                    <w:pStyle w:val="NoSpacing"/>
                    <w:jc w:val="both"/>
                    <w:rPr>
                      <w:rFonts w:cstheme="minorHAnsi"/>
                      <w:color w:val="000000" w:themeColor="text1"/>
                      <w:lang w:val="en-IN" w:eastAsia="en-IN"/>
                    </w:rPr>
                  </w:pPr>
                  <w:r w:rsidRPr="00CB562F">
                    <w:rPr>
                      <w:rFonts w:cstheme="minorHAnsi"/>
                      <w:color w:val="000000" w:themeColor="text1"/>
                      <w:lang w:val="en-IN" w:eastAsia="en-IN"/>
                    </w:rPr>
                    <w:t>RatePressure Product(mmHg bpm)</w:t>
                  </w:r>
                </w:p>
              </w:tc>
              <w:tc>
                <w:tcPr>
                  <w:tcW w:w="1127" w:type="dxa"/>
                </w:tcPr>
                <w:p w:rsidR="000618FE" w:rsidRPr="00CB562F" w:rsidRDefault="000618FE" w:rsidP="004F39E6">
                  <w:pPr>
                    <w:pStyle w:val="NoSpacing"/>
                    <w:jc w:val="both"/>
                    <w:rPr>
                      <w:rFonts w:cstheme="minorHAnsi"/>
                      <w:color w:val="000000" w:themeColor="text1"/>
                      <w:lang w:val="en-IN" w:eastAsia="en-IN"/>
                    </w:rPr>
                  </w:pPr>
                  <w:r w:rsidRPr="00CB562F">
                    <w:rPr>
                      <w:rFonts w:cstheme="minorHAnsi"/>
                      <w:color w:val="000000" w:themeColor="text1"/>
                      <w:lang w:val="en-IN" w:eastAsia="en-IN"/>
                    </w:rPr>
                    <w:t>Group A</w:t>
                  </w:r>
                </w:p>
              </w:tc>
              <w:tc>
                <w:tcPr>
                  <w:tcW w:w="1306" w:type="dxa"/>
                </w:tcPr>
                <w:p w:rsidR="000618FE" w:rsidRPr="00CB562F" w:rsidRDefault="000618FE" w:rsidP="004F39E6">
                  <w:pPr>
                    <w:pStyle w:val="NoSpacing"/>
                    <w:jc w:val="both"/>
                    <w:rPr>
                      <w:rFonts w:cstheme="minorHAnsi"/>
                      <w:color w:val="000000" w:themeColor="text1"/>
                      <w:lang w:val="en-IN" w:eastAsia="en-IN"/>
                    </w:rPr>
                  </w:pPr>
                  <w:r w:rsidRPr="00CB562F">
                    <w:rPr>
                      <w:rFonts w:cstheme="minorHAnsi"/>
                      <w:color w:val="000000" w:themeColor="text1"/>
                      <w:lang w:val="en-IN" w:eastAsia="en-IN"/>
                    </w:rPr>
                    <w:t>95%CI</w:t>
                  </w:r>
                </w:p>
              </w:tc>
              <w:tc>
                <w:tcPr>
                  <w:tcW w:w="1127" w:type="dxa"/>
                </w:tcPr>
                <w:p w:rsidR="000618FE" w:rsidRPr="00CB562F" w:rsidRDefault="000618FE" w:rsidP="004F39E6">
                  <w:pPr>
                    <w:pStyle w:val="NoSpacing"/>
                    <w:jc w:val="both"/>
                    <w:rPr>
                      <w:rFonts w:cstheme="minorHAnsi"/>
                      <w:color w:val="000000" w:themeColor="text1"/>
                      <w:lang w:val="en-IN" w:eastAsia="en-IN"/>
                    </w:rPr>
                  </w:pPr>
                  <w:r w:rsidRPr="00CB562F">
                    <w:rPr>
                      <w:rFonts w:cstheme="minorHAnsi"/>
                      <w:color w:val="000000" w:themeColor="text1"/>
                      <w:lang w:val="en-IN" w:eastAsia="en-IN"/>
                    </w:rPr>
                    <w:t>Group B</w:t>
                  </w:r>
                </w:p>
              </w:tc>
              <w:tc>
                <w:tcPr>
                  <w:tcW w:w="999" w:type="dxa"/>
                </w:tcPr>
                <w:p w:rsidR="000618FE" w:rsidRPr="00CB562F" w:rsidRDefault="000618FE" w:rsidP="004F39E6">
                  <w:pPr>
                    <w:pStyle w:val="NoSpacing"/>
                    <w:jc w:val="both"/>
                    <w:rPr>
                      <w:rFonts w:cstheme="minorHAnsi"/>
                      <w:color w:val="000000" w:themeColor="text1"/>
                      <w:lang w:val="en-IN" w:eastAsia="en-IN"/>
                    </w:rPr>
                  </w:pPr>
                  <w:r w:rsidRPr="00CB562F">
                    <w:rPr>
                      <w:rFonts w:cstheme="minorHAnsi"/>
                      <w:color w:val="000000" w:themeColor="text1"/>
                      <w:lang w:val="en-IN" w:eastAsia="en-IN"/>
                    </w:rPr>
                    <w:t>95%CI</w:t>
                  </w:r>
                </w:p>
              </w:tc>
              <w:tc>
                <w:tcPr>
                  <w:tcW w:w="1025" w:type="dxa"/>
                </w:tcPr>
                <w:p w:rsidR="000618FE" w:rsidRPr="00CB562F" w:rsidRDefault="000618FE" w:rsidP="004F39E6">
                  <w:pPr>
                    <w:pStyle w:val="NoSpacing"/>
                    <w:jc w:val="both"/>
                    <w:rPr>
                      <w:rFonts w:cstheme="minorHAnsi"/>
                      <w:color w:val="000000" w:themeColor="text1"/>
                      <w:lang w:val="en-IN" w:eastAsia="en-IN"/>
                    </w:rPr>
                  </w:pPr>
                  <w:r w:rsidRPr="00CB562F">
                    <w:rPr>
                      <w:rFonts w:cstheme="minorHAnsi"/>
                      <w:color w:val="000000" w:themeColor="text1"/>
                      <w:lang w:val="en-IN" w:eastAsia="en-IN"/>
                    </w:rPr>
                    <w:t>Group C</w:t>
                  </w:r>
                </w:p>
              </w:tc>
              <w:tc>
                <w:tcPr>
                  <w:tcW w:w="770" w:type="dxa"/>
                </w:tcPr>
                <w:p w:rsidR="000618FE" w:rsidRPr="00CB562F" w:rsidRDefault="000618FE" w:rsidP="004F39E6">
                  <w:pPr>
                    <w:pStyle w:val="NoSpacing"/>
                    <w:jc w:val="both"/>
                    <w:rPr>
                      <w:rFonts w:cstheme="minorHAnsi"/>
                      <w:color w:val="000000" w:themeColor="text1"/>
                      <w:lang w:val="en-IN" w:eastAsia="en-IN"/>
                    </w:rPr>
                  </w:pPr>
                  <w:r w:rsidRPr="00CB562F">
                    <w:rPr>
                      <w:rFonts w:cstheme="minorHAnsi"/>
                      <w:color w:val="000000" w:themeColor="text1"/>
                      <w:lang w:val="en-IN" w:eastAsia="en-IN"/>
                    </w:rPr>
                    <w:t>95%CI</w:t>
                  </w:r>
                </w:p>
              </w:tc>
              <w:tc>
                <w:tcPr>
                  <w:tcW w:w="899" w:type="dxa"/>
                </w:tcPr>
                <w:p w:rsidR="000618FE" w:rsidRPr="00CB562F" w:rsidRDefault="000618FE" w:rsidP="004F39E6">
                  <w:pPr>
                    <w:pStyle w:val="NoSpacing"/>
                    <w:jc w:val="both"/>
                    <w:rPr>
                      <w:rFonts w:cstheme="minorHAnsi"/>
                      <w:color w:val="000000" w:themeColor="text1"/>
                      <w:lang w:val="en-IN" w:eastAsia="en-IN"/>
                    </w:rPr>
                  </w:pPr>
                  <w:r w:rsidRPr="00CB562F">
                    <w:rPr>
                      <w:rFonts w:cstheme="minorHAnsi"/>
                      <w:color w:val="000000" w:themeColor="text1"/>
                      <w:lang w:val="en-IN" w:eastAsia="en-IN"/>
                    </w:rPr>
                    <w:t>F-ratio</w:t>
                  </w:r>
                </w:p>
              </w:tc>
              <w:tc>
                <w:tcPr>
                  <w:tcW w:w="697" w:type="dxa"/>
                </w:tcPr>
                <w:p w:rsidR="000618FE" w:rsidRPr="00CB562F" w:rsidRDefault="000618FE" w:rsidP="004F39E6">
                  <w:pPr>
                    <w:pStyle w:val="NoSpacing"/>
                    <w:jc w:val="both"/>
                    <w:rPr>
                      <w:rFonts w:cstheme="minorHAnsi"/>
                      <w:color w:val="000000" w:themeColor="text1"/>
                      <w:lang w:val="en-IN" w:eastAsia="en-IN"/>
                    </w:rPr>
                  </w:pPr>
                  <w:r w:rsidRPr="00CB562F">
                    <w:rPr>
                      <w:rFonts w:cstheme="minorHAnsi"/>
                      <w:color w:val="000000" w:themeColor="text1"/>
                      <w:lang w:val="en-IN" w:eastAsia="en-IN"/>
                    </w:rPr>
                    <w:t>p-value</w:t>
                  </w:r>
                </w:p>
              </w:tc>
            </w:tr>
            <w:tr w:rsidR="000618FE" w:rsidRPr="00CB562F" w:rsidTr="004F39E6">
              <w:tc>
                <w:tcPr>
                  <w:tcW w:w="1580" w:type="dxa"/>
                </w:tcPr>
                <w:p w:rsidR="000618FE" w:rsidRPr="00CB562F" w:rsidRDefault="000618FE" w:rsidP="004F39E6">
                  <w:pPr>
                    <w:pStyle w:val="NoSpacing"/>
                    <w:rPr>
                      <w:rFonts w:cstheme="minorHAnsi"/>
                      <w:color w:val="000000" w:themeColor="text1"/>
                      <w:sz w:val="20"/>
                      <w:szCs w:val="20"/>
                      <w:lang w:val="en-IN" w:eastAsia="en-IN"/>
                    </w:rPr>
                  </w:pPr>
                  <w:r w:rsidRPr="00CB562F">
                    <w:rPr>
                      <w:rFonts w:cstheme="minorHAnsi"/>
                      <w:color w:val="000000" w:themeColor="text1"/>
                      <w:sz w:val="20"/>
                      <w:szCs w:val="20"/>
                      <w:lang w:val="en-IN" w:eastAsia="en-IN"/>
                    </w:rPr>
                    <w:t xml:space="preserve">Mean </w:t>
                  </w:r>
                  <w:r w:rsidRPr="00CB562F">
                    <w:rPr>
                      <w:rFonts w:cstheme="minorHAnsi"/>
                      <w:color w:val="000000" w:themeColor="text1"/>
                      <w:sz w:val="20"/>
                      <w:szCs w:val="20"/>
                      <w:u w:val="single"/>
                      <w:lang w:val="en-IN" w:eastAsia="en-IN"/>
                    </w:rPr>
                    <w:t>+</w:t>
                  </w:r>
                  <w:r w:rsidRPr="00CB562F">
                    <w:rPr>
                      <w:rFonts w:cstheme="minorHAnsi"/>
                      <w:color w:val="000000" w:themeColor="text1"/>
                      <w:sz w:val="20"/>
                      <w:szCs w:val="20"/>
                      <w:lang w:val="en-IN" w:eastAsia="en-IN"/>
                    </w:rPr>
                    <w:t xml:space="preserve"> SD</w:t>
                  </w:r>
                </w:p>
              </w:tc>
              <w:tc>
                <w:tcPr>
                  <w:tcW w:w="1127" w:type="dxa"/>
                </w:tcPr>
                <w:p w:rsidR="000618FE" w:rsidRPr="00CB562F" w:rsidRDefault="000618FE" w:rsidP="004F39E6">
                  <w:pPr>
                    <w:pStyle w:val="NoSpacing"/>
                    <w:rPr>
                      <w:rFonts w:cstheme="minorHAnsi"/>
                      <w:color w:val="000000" w:themeColor="text1"/>
                      <w:sz w:val="20"/>
                      <w:szCs w:val="20"/>
                      <w:lang w:val="en-IN" w:eastAsia="en-IN"/>
                    </w:rPr>
                  </w:pPr>
                  <w:r w:rsidRPr="00CB562F">
                    <w:rPr>
                      <w:rFonts w:cstheme="minorHAnsi"/>
                      <w:color w:val="000000" w:themeColor="text1"/>
                      <w:sz w:val="20"/>
                      <w:szCs w:val="20"/>
                      <w:lang w:val="en-IN" w:eastAsia="en-IN"/>
                    </w:rPr>
                    <w:t>129.9</w:t>
                  </w:r>
                  <w:r w:rsidRPr="00CB562F">
                    <w:rPr>
                      <w:rFonts w:cstheme="minorHAnsi"/>
                      <w:color w:val="000000" w:themeColor="text1"/>
                      <w:sz w:val="20"/>
                      <w:szCs w:val="20"/>
                      <w:u w:val="single"/>
                      <w:lang w:val="en-IN" w:eastAsia="en-IN"/>
                    </w:rPr>
                    <w:t>+</w:t>
                  </w:r>
                  <w:r w:rsidRPr="00CB562F">
                    <w:rPr>
                      <w:rFonts w:cstheme="minorHAnsi"/>
                      <w:color w:val="000000" w:themeColor="text1"/>
                      <w:sz w:val="20"/>
                      <w:szCs w:val="20"/>
                      <w:lang w:val="en-IN" w:eastAsia="en-IN"/>
                    </w:rPr>
                    <w:t>13.1</w:t>
                  </w:r>
                </w:p>
              </w:tc>
              <w:tc>
                <w:tcPr>
                  <w:tcW w:w="1306" w:type="dxa"/>
                </w:tcPr>
                <w:p w:rsidR="000618FE" w:rsidRPr="00CB562F" w:rsidRDefault="000618FE" w:rsidP="004F39E6">
                  <w:pPr>
                    <w:pStyle w:val="NoSpacing"/>
                    <w:rPr>
                      <w:rFonts w:cstheme="minorHAnsi"/>
                      <w:color w:val="000000" w:themeColor="text1"/>
                      <w:sz w:val="20"/>
                      <w:szCs w:val="20"/>
                      <w:lang w:val="en-IN" w:eastAsia="en-IN"/>
                    </w:rPr>
                  </w:pPr>
                  <w:r w:rsidRPr="00CB562F">
                    <w:rPr>
                      <w:rFonts w:cstheme="minorHAnsi"/>
                      <w:color w:val="000000" w:themeColor="text1"/>
                      <w:sz w:val="20"/>
                      <w:szCs w:val="20"/>
                      <w:lang w:val="en-IN" w:eastAsia="en-IN"/>
                    </w:rPr>
                    <w:t>123.8       – 136.1</w:t>
                  </w:r>
                </w:p>
              </w:tc>
              <w:tc>
                <w:tcPr>
                  <w:tcW w:w="1127" w:type="dxa"/>
                </w:tcPr>
                <w:p w:rsidR="000618FE" w:rsidRPr="00CB562F" w:rsidRDefault="000618FE" w:rsidP="004F39E6">
                  <w:pPr>
                    <w:pStyle w:val="NoSpacing"/>
                    <w:rPr>
                      <w:rFonts w:cstheme="minorHAnsi"/>
                      <w:color w:val="000000" w:themeColor="text1"/>
                      <w:sz w:val="20"/>
                      <w:szCs w:val="20"/>
                      <w:lang w:val="en-IN" w:eastAsia="en-IN"/>
                    </w:rPr>
                  </w:pPr>
                  <w:r w:rsidRPr="00CB562F">
                    <w:rPr>
                      <w:rFonts w:cstheme="minorHAnsi"/>
                      <w:color w:val="000000" w:themeColor="text1"/>
                      <w:sz w:val="20"/>
                      <w:szCs w:val="20"/>
                      <w:lang w:val="en-IN" w:eastAsia="en-IN"/>
                    </w:rPr>
                    <w:t>117.7</w:t>
                  </w:r>
                  <w:r w:rsidRPr="00CB562F">
                    <w:rPr>
                      <w:rFonts w:cstheme="minorHAnsi"/>
                      <w:color w:val="000000" w:themeColor="text1"/>
                      <w:sz w:val="20"/>
                      <w:szCs w:val="20"/>
                      <w:u w:val="single"/>
                      <w:lang w:val="en-IN" w:eastAsia="en-IN"/>
                    </w:rPr>
                    <w:t>+</w:t>
                  </w:r>
                  <w:r w:rsidRPr="00CB562F">
                    <w:rPr>
                      <w:rFonts w:cstheme="minorHAnsi"/>
                      <w:color w:val="000000" w:themeColor="text1"/>
                      <w:sz w:val="20"/>
                      <w:szCs w:val="20"/>
                      <w:lang w:val="en-IN" w:eastAsia="en-IN"/>
                    </w:rPr>
                    <w:t>18.6</w:t>
                  </w:r>
                </w:p>
              </w:tc>
              <w:tc>
                <w:tcPr>
                  <w:tcW w:w="999" w:type="dxa"/>
                </w:tcPr>
                <w:p w:rsidR="000618FE" w:rsidRPr="00CB562F" w:rsidRDefault="000618FE" w:rsidP="004F39E6">
                  <w:pPr>
                    <w:pStyle w:val="NoSpacing"/>
                    <w:rPr>
                      <w:rFonts w:cstheme="minorHAnsi"/>
                      <w:color w:val="000000" w:themeColor="text1"/>
                      <w:sz w:val="20"/>
                      <w:szCs w:val="20"/>
                      <w:lang w:val="en-IN" w:eastAsia="en-IN"/>
                    </w:rPr>
                  </w:pPr>
                  <w:r w:rsidRPr="00CB562F">
                    <w:rPr>
                      <w:rFonts w:cstheme="minorHAnsi"/>
                      <w:color w:val="000000" w:themeColor="text1"/>
                      <w:sz w:val="20"/>
                      <w:szCs w:val="20"/>
                      <w:lang w:val="en-IN" w:eastAsia="en-IN"/>
                    </w:rPr>
                    <w:t>108.9 – 126.4</w:t>
                  </w:r>
                </w:p>
              </w:tc>
              <w:tc>
                <w:tcPr>
                  <w:tcW w:w="1025" w:type="dxa"/>
                </w:tcPr>
                <w:p w:rsidR="000618FE" w:rsidRPr="00CB562F" w:rsidRDefault="000618FE" w:rsidP="004F39E6">
                  <w:pPr>
                    <w:pStyle w:val="NoSpacing"/>
                    <w:rPr>
                      <w:rFonts w:cstheme="minorHAnsi"/>
                      <w:color w:val="000000" w:themeColor="text1"/>
                      <w:sz w:val="20"/>
                      <w:szCs w:val="20"/>
                      <w:lang w:val="en-IN" w:eastAsia="en-IN"/>
                    </w:rPr>
                  </w:pPr>
                  <w:r w:rsidRPr="00CB562F">
                    <w:rPr>
                      <w:rFonts w:cstheme="minorHAnsi"/>
                      <w:color w:val="000000" w:themeColor="text1"/>
                      <w:sz w:val="20"/>
                      <w:szCs w:val="20"/>
                      <w:lang w:val="en-IN" w:eastAsia="en-IN"/>
                    </w:rPr>
                    <w:t>99.1</w:t>
                  </w:r>
                  <w:r w:rsidRPr="00CB562F">
                    <w:rPr>
                      <w:rFonts w:cstheme="minorHAnsi"/>
                      <w:color w:val="000000" w:themeColor="text1"/>
                      <w:sz w:val="20"/>
                      <w:szCs w:val="20"/>
                      <w:u w:val="single"/>
                      <w:lang w:val="en-IN" w:eastAsia="en-IN"/>
                    </w:rPr>
                    <w:t>+</w:t>
                  </w:r>
                  <w:r w:rsidRPr="00CB562F">
                    <w:rPr>
                      <w:rFonts w:cstheme="minorHAnsi"/>
                      <w:color w:val="000000" w:themeColor="text1"/>
                      <w:sz w:val="20"/>
                      <w:szCs w:val="20"/>
                      <w:lang w:val="en-IN" w:eastAsia="en-IN"/>
                    </w:rPr>
                    <w:t>15.1</w:t>
                  </w:r>
                </w:p>
              </w:tc>
              <w:tc>
                <w:tcPr>
                  <w:tcW w:w="770" w:type="dxa"/>
                </w:tcPr>
                <w:p w:rsidR="000618FE" w:rsidRPr="00CB562F" w:rsidRDefault="000618FE" w:rsidP="004F39E6">
                  <w:pPr>
                    <w:pStyle w:val="NoSpacing"/>
                    <w:rPr>
                      <w:rFonts w:cstheme="minorHAnsi"/>
                      <w:color w:val="000000" w:themeColor="text1"/>
                      <w:sz w:val="20"/>
                      <w:szCs w:val="20"/>
                      <w:lang w:val="en-IN" w:eastAsia="en-IN"/>
                    </w:rPr>
                  </w:pPr>
                  <w:r w:rsidRPr="00CB562F">
                    <w:rPr>
                      <w:rFonts w:cstheme="minorHAnsi"/>
                      <w:color w:val="000000" w:themeColor="text1"/>
                      <w:sz w:val="20"/>
                      <w:szCs w:val="20"/>
                      <w:lang w:val="en-IN" w:eastAsia="en-IN"/>
                    </w:rPr>
                    <w:t>92.1 – 106.2</w:t>
                  </w:r>
                </w:p>
              </w:tc>
              <w:tc>
                <w:tcPr>
                  <w:tcW w:w="899" w:type="dxa"/>
                </w:tcPr>
                <w:p w:rsidR="000618FE" w:rsidRPr="00CB562F" w:rsidRDefault="000618FE" w:rsidP="004F39E6">
                  <w:pPr>
                    <w:pStyle w:val="NoSpacing"/>
                    <w:rPr>
                      <w:rFonts w:cstheme="minorHAnsi"/>
                      <w:color w:val="000000" w:themeColor="text1"/>
                      <w:sz w:val="20"/>
                      <w:szCs w:val="20"/>
                      <w:lang w:val="en-IN" w:eastAsia="en-IN"/>
                    </w:rPr>
                  </w:pPr>
                  <w:r w:rsidRPr="00CB562F">
                    <w:rPr>
                      <w:rFonts w:cstheme="minorHAnsi"/>
                      <w:color w:val="000000" w:themeColor="text1"/>
                      <w:sz w:val="20"/>
                      <w:szCs w:val="20"/>
                      <w:lang w:val="en-IN" w:eastAsia="en-IN"/>
                    </w:rPr>
                    <w:t>19.4</w:t>
                  </w:r>
                </w:p>
              </w:tc>
              <w:tc>
                <w:tcPr>
                  <w:tcW w:w="697" w:type="dxa"/>
                </w:tcPr>
                <w:p w:rsidR="000618FE" w:rsidRPr="00CB562F" w:rsidRDefault="000618FE" w:rsidP="004F39E6">
                  <w:pPr>
                    <w:pStyle w:val="NoSpacing"/>
                    <w:rPr>
                      <w:rFonts w:cstheme="minorHAnsi"/>
                      <w:color w:val="000000" w:themeColor="text1"/>
                      <w:sz w:val="20"/>
                      <w:szCs w:val="20"/>
                      <w:lang w:val="en-IN" w:eastAsia="en-IN"/>
                    </w:rPr>
                  </w:pPr>
                  <w:r w:rsidRPr="00CB562F">
                    <w:rPr>
                      <w:rFonts w:cstheme="minorHAnsi"/>
                      <w:color w:val="000000" w:themeColor="text1"/>
                      <w:sz w:val="20"/>
                      <w:szCs w:val="20"/>
                      <w:lang w:val="en-IN" w:eastAsia="en-IN"/>
                    </w:rPr>
                    <w:t>0*</w:t>
                  </w:r>
                </w:p>
              </w:tc>
            </w:tr>
          </w:tbl>
          <w:p w:rsidR="000618FE" w:rsidRPr="00CB562F" w:rsidRDefault="000618FE" w:rsidP="004F39E6">
            <w:pPr>
              <w:pStyle w:val="NoSpacing"/>
              <w:jc w:val="both"/>
              <w:rPr>
                <w:rFonts w:cstheme="minorHAnsi"/>
                <w:color w:val="000000" w:themeColor="text1"/>
                <w:lang w:val="en-IN" w:eastAsia="en-IN"/>
              </w:rPr>
            </w:pPr>
          </w:p>
        </w:tc>
        <w:tc>
          <w:tcPr>
            <w:tcW w:w="552" w:type="dxa"/>
            <w:gridSpan w:val="2"/>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448" w:type="dxa"/>
            <w:gridSpan w:val="2"/>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405" w:type="dxa"/>
            <w:gridSpan w:val="2"/>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448" w:type="dxa"/>
            <w:gridSpan w:val="2"/>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394"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r>
    </w:tbl>
    <w:p w:rsidR="000618FE" w:rsidRPr="00CB562F" w:rsidRDefault="000618FE" w:rsidP="000618FE">
      <w:pPr>
        <w:pStyle w:val="NoSpacing"/>
        <w:jc w:val="both"/>
        <w:rPr>
          <w:rFonts w:cstheme="minorHAnsi"/>
          <w:color w:val="000000" w:themeColor="text1"/>
          <w:lang w:val="en-IN" w:eastAsia="en-IN"/>
        </w:rPr>
        <w:sectPr w:rsidR="000618FE" w:rsidRPr="00CB562F" w:rsidSect="006E2971">
          <w:type w:val="continuous"/>
          <w:pgSz w:w="11907" w:h="16839" w:code="9"/>
          <w:pgMar w:top="1440" w:right="864" w:bottom="864" w:left="1440" w:header="720" w:footer="144" w:gutter="0"/>
          <w:cols w:space="720"/>
          <w:docGrid w:linePitch="360"/>
        </w:sectPr>
      </w:pPr>
    </w:p>
    <w:tbl>
      <w:tblPr>
        <w:tblW w:w="15301" w:type="dxa"/>
        <w:tblInd w:w="93" w:type="dxa"/>
        <w:tblLook w:val="04A0"/>
      </w:tblPr>
      <w:tblGrid>
        <w:gridCol w:w="13054"/>
        <w:gridCol w:w="552"/>
        <w:gridCol w:w="448"/>
        <w:gridCol w:w="405"/>
        <w:gridCol w:w="448"/>
        <w:gridCol w:w="394"/>
      </w:tblGrid>
      <w:tr w:rsidR="000618FE" w:rsidRPr="00CB562F" w:rsidTr="004F39E6">
        <w:trPr>
          <w:trHeight w:val="300"/>
        </w:trPr>
        <w:tc>
          <w:tcPr>
            <w:tcW w:w="13054"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r w:rsidRPr="00CB562F">
              <w:rPr>
                <w:rFonts w:cstheme="minorHAnsi"/>
                <w:color w:val="000000" w:themeColor="text1"/>
                <w:lang w:val="en-IN" w:eastAsia="en-IN"/>
              </w:rPr>
              <w:lastRenderedPageBreak/>
              <w:t>*p&lt;0.01</w:t>
            </w:r>
          </w:p>
        </w:tc>
        <w:tc>
          <w:tcPr>
            <w:tcW w:w="552"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448"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405"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448"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394"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r>
      <w:tr w:rsidR="000618FE" w:rsidRPr="00CB562F" w:rsidTr="004F39E6">
        <w:trPr>
          <w:trHeight w:val="300"/>
        </w:trPr>
        <w:tc>
          <w:tcPr>
            <w:tcW w:w="13054"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552"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448"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405"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448"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c>
          <w:tcPr>
            <w:tcW w:w="394" w:type="dxa"/>
            <w:tcBorders>
              <w:top w:val="nil"/>
              <w:left w:val="nil"/>
              <w:bottom w:val="nil"/>
              <w:right w:val="nil"/>
            </w:tcBorders>
            <w:shd w:val="clear" w:color="auto" w:fill="auto"/>
            <w:noWrap/>
            <w:vAlign w:val="bottom"/>
            <w:hideMark/>
          </w:tcPr>
          <w:p w:rsidR="000618FE" w:rsidRPr="00CB562F" w:rsidRDefault="000618FE" w:rsidP="004F39E6">
            <w:pPr>
              <w:pStyle w:val="NoSpacing"/>
              <w:jc w:val="both"/>
              <w:rPr>
                <w:rFonts w:cstheme="minorHAnsi"/>
                <w:color w:val="000000" w:themeColor="text1"/>
                <w:lang w:val="en-IN" w:eastAsia="en-IN"/>
              </w:rPr>
            </w:pPr>
          </w:p>
        </w:tc>
      </w:tr>
    </w:tbl>
    <w:p w:rsidR="000618FE" w:rsidRPr="00CB562F" w:rsidRDefault="000618FE" w:rsidP="000618FE">
      <w:pPr>
        <w:pStyle w:val="NoSpacing"/>
        <w:jc w:val="both"/>
        <w:rPr>
          <w:rFonts w:cstheme="minorHAnsi"/>
          <w:b/>
          <w:color w:val="000000" w:themeColor="text1"/>
        </w:rPr>
        <w:sectPr w:rsidR="000618FE" w:rsidRPr="00CB562F" w:rsidSect="006E2971">
          <w:type w:val="continuous"/>
          <w:pgSz w:w="11907" w:h="16839" w:code="9"/>
          <w:pgMar w:top="1440" w:right="864" w:bottom="864" w:left="1440" w:header="720" w:footer="144" w:gutter="0"/>
          <w:cols w:num="2" w:space="720"/>
          <w:docGrid w:linePitch="360"/>
        </w:sectPr>
      </w:pPr>
    </w:p>
    <w:p w:rsidR="000618FE" w:rsidRPr="00CB562F" w:rsidRDefault="000618FE" w:rsidP="000618FE">
      <w:pPr>
        <w:pStyle w:val="NoSpacing"/>
        <w:jc w:val="both"/>
        <w:rPr>
          <w:rFonts w:cstheme="minorHAnsi"/>
          <w:b/>
          <w:color w:val="000000" w:themeColor="text1"/>
        </w:rPr>
      </w:pPr>
    </w:p>
    <w:p w:rsidR="000618FE" w:rsidRPr="00CB562F" w:rsidRDefault="000618FE" w:rsidP="000618FE">
      <w:pPr>
        <w:pStyle w:val="NoSpacing"/>
        <w:jc w:val="both"/>
        <w:rPr>
          <w:rFonts w:cstheme="minorHAnsi"/>
          <w:color w:val="000000" w:themeColor="text1"/>
        </w:rPr>
      </w:pPr>
      <w:r w:rsidRPr="00CB562F">
        <w:rPr>
          <w:rFonts w:cstheme="minorHAnsi"/>
          <w:b/>
          <w:color w:val="000000" w:themeColor="text1"/>
        </w:rPr>
        <w:t xml:space="preserve">Discussion: </w:t>
      </w:r>
      <w:r w:rsidRPr="00CB562F">
        <w:rPr>
          <w:rFonts w:cstheme="minorHAnsi"/>
          <w:color w:val="000000" w:themeColor="text1"/>
        </w:rPr>
        <w:t xml:space="preserve">The present study was carried out with the aim to determine the potential of diabetic cardiac autonomic neuropathy to influence resting rate pressure product. Resting heart rate and systolic blood pressure was recorded in type 2 diabetic patients with/without cardiac autonomic neuropathy patients and controls. </w:t>
      </w:r>
    </w:p>
    <w:p w:rsidR="000618FE" w:rsidRPr="00CB562F" w:rsidRDefault="000618FE" w:rsidP="000618FE">
      <w:pPr>
        <w:pStyle w:val="NoSpacing"/>
        <w:jc w:val="both"/>
        <w:rPr>
          <w:rFonts w:cstheme="minorHAnsi"/>
          <w:bCs/>
          <w:color w:val="000000" w:themeColor="text1"/>
        </w:rPr>
      </w:pPr>
    </w:p>
    <w:p w:rsidR="000618FE" w:rsidRPr="00CB562F" w:rsidRDefault="000618FE" w:rsidP="000618FE">
      <w:pPr>
        <w:pStyle w:val="NoSpacing"/>
        <w:jc w:val="both"/>
        <w:rPr>
          <w:rFonts w:cstheme="minorHAnsi"/>
          <w:bCs/>
          <w:color w:val="000000" w:themeColor="text1"/>
        </w:rPr>
      </w:pPr>
      <w:r w:rsidRPr="00CB562F">
        <w:rPr>
          <w:rFonts w:cstheme="minorHAnsi"/>
          <w:bCs/>
          <w:color w:val="000000" w:themeColor="text1"/>
        </w:rPr>
        <w:t>Diabetic cardiac autonomic neuropathy patients had a significantly higher</w:t>
      </w:r>
      <w:r w:rsidRPr="00CB562F">
        <w:rPr>
          <w:rFonts w:cstheme="minorHAnsi"/>
          <w:color w:val="000000" w:themeColor="text1"/>
        </w:rPr>
        <w:t xml:space="preserve"> Rate Pressure Product</w:t>
      </w:r>
      <w:r w:rsidRPr="00CB562F">
        <w:rPr>
          <w:rFonts w:cstheme="minorHAnsi"/>
          <w:bCs/>
          <w:color w:val="000000" w:themeColor="text1"/>
        </w:rPr>
        <w:t xml:space="preserve"> at rest compared to non neuropathy counterparts as well as controls (</w:t>
      </w:r>
      <w:r w:rsidRPr="00CB562F">
        <w:rPr>
          <w:rFonts w:cstheme="minorHAnsi"/>
          <w:bCs/>
          <w:i/>
          <w:color w:val="000000" w:themeColor="text1"/>
        </w:rPr>
        <w:t>p</w:t>
      </w:r>
      <w:r w:rsidRPr="00CB562F">
        <w:rPr>
          <w:rFonts w:cstheme="minorHAnsi"/>
          <w:bCs/>
          <w:color w:val="000000" w:themeColor="text1"/>
        </w:rPr>
        <w:t xml:space="preserve">&lt;0.01) </w:t>
      </w:r>
    </w:p>
    <w:p w:rsidR="000618FE" w:rsidRPr="00CB562F" w:rsidRDefault="000618FE" w:rsidP="000618FE">
      <w:pPr>
        <w:pStyle w:val="NoSpacing"/>
        <w:jc w:val="both"/>
        <w:rPr>
          <w:rFonts w:cstheme="minorHAnsi"/>
          <w:bCs/>
          <w:color w:val="000000" w:themeColor="text1"/>
        </w:rPr>
      </w:pPr>
      <w:r w:rsidRPr="00CB562F">
        <w:rPr>
          <w:rFonts w:cstheme="minorHAnsi"/>
          <w:bCs/>
          <w:color w:val="000000" w:themeColor="text1"/>
        </w:rPr>
        <w:t>(Table 1 ).</w:t>
      </w:r>
    </w:p>
    <w:p w:rsidR="000618FE" w:rsidRPr="00CB562F" w:rsidRDefault="000618FE" w:rsidP="000618FE">
      <w:pPr>
        <w:pStyle w:val="NoSpacing"/>
        <w:jc w:val="both"/>
        <w:rPr>
          <w:rFonts w:cstheme="minorHAnsi"/>
          <w:bCs/>
          <w:color w:val="000000" w:themeColor="text1"/>
        </w:rPr>
      </w:pPr>
    </w:p>
    <w:p w:rsidR="000618FE" w:rsidRPr="00CB562F" w:rsidRDefault="000618FE" w:rsidP="000618FE">
      <w:pPr>
        <w:pStyle w:val="NoSpacing"/>
        <w:jc w:val="both"/>
        <w:rPr>
          <w:rFonts w:cstheme="minorHAnsi"/>
          <w:color w:val="000000" w:themeColor="text1"/>
        </w:rPr>
      </w:pPr>
      <w:r w:rsidRPr="00CB562F">
        <w:rPr>
          <w:rFonts w:cstheme="minorHAnsi"/>
          <w:bCs/>
          <w:color w:val="000000" w:themeColor="text1"/>
        </w:rPr>
        <w:t xml:space="preserve">Resting tachycardia could </w:t>
      </w:r>
      <w:r w:rsidRPr="00CB562F">
        <w:rPr>
          <w:rFonts w:cstheme="minorHAnsi"/>
          <w:color w:val="000000" w:themeColor="text1"/>
        </w:rPr>
        <w:t>potentially be contributing to significantly heightened resting rate pressure product in such patients. Resting heart rates of 90-100 beats per minute and occasional heart rate increments upto 130 beats per minute occur. The highest resting heart rates have been found in patients with parasympathetic damage, occurring earlier in the course of cardiovascular autonomic neuropathy than sympathetic nerve  dysfunction, in those with evidence for combined vagal and sympathetic involvement, the rate returns toward normal but remains elevated</w:t>
      </w:r>
      <w:r w:rsidRPr="00CB562F">
        <w:rPr>
          <w:rFonts w:cstheme="minorHAnsi"/>
          <w:color w:val="000000" w:themeColor="text1"/>
          <w:vertAlign w:val="superscript"/>
        </w:rPr>
        <w:t>5</w:t>
      </w:r>
      <w:r w:rsidRPr="00CB562F">
        <w:rPr>
          <w:rFonts w:cstheme="minorHAnsi"/>
          <w:color w:val="000000" w:themeColor="text1"/>
        </w:rPr>
        <w:t xml:space="preserve">. </w:t>
      </w:r>
    </w:p>
    <w:p w:rsidR="000618FE" w:rsidRPr="00CB562F" w:rsidRDefault="000618FE" w:rsidP="000618FE">
      <w:pPr>
        <w:pStyle w:val="NoSpacing"/>
        <w:jc w:val="both"/>
        <w:rPr>
          <w:rFonts w:cstheme="minorHAnsi"/>
          <w:color w:val="000000" w:themeColor="text1"/>
        </w:rPr>
      </w:pPr>
    </w:p>
    <w:p w:rsidR="000618FE" w:rsidRPr="00CB562F" w:rsidRDefault="000618FE" w:rsidP="000618FE">
      <w:pPr>
        <w:pStyle w:val="NoSpacing"/>
        <w:jc w:val="both"/>
        <w:rPr>
          <w:rFonts w:cstheme="minorHAnsi"/>
          <w:color w:val="000000" w:themeColor="text1"/>
        </w:rPr>
      </w:pPr>
      <w:r w:rsidRPr="00CB562F">
        <w:rPr>
          <w:rFonts w:cstheme="minorHAnsi"/>
          <w:color w:val="000000" w:themeColor="text1"/>
        </w:rPr>
        <w:t>Based on the guidelines of the European Society of Hypertension and the JNC-7, BP was considered controlled in diabetics at &lt;130 mm Hg systolic and &lt;80 mm Hg diastolic pressure</w:t>
      </w:r>
      <w:r w:rsidRPr="00CB562F">
        <w:rPr>
          <w:rFonts w:cstheme="minorHAnsi"/>
          <w:color w:val="000000" w:themeColor="text1"/>
          <w:vertAlign w:val="superscript"/>
        </w:rPr>
        <w:t>6</w:t>
      </w:r>
      <w:r w:rsidRPr="00CB562F">
        <w:rPr>
          <w:rFonts w:cstheme="minorHAnsi"/>
          <w:color w:val="000000" w:themeColor="text1"/>
        </w:rPr>
        <w:t xml:space="preserve">. Thus the major contribution to heightened rate pressure product was given by heart rate. </w:t>
      </w:r>
    </w:p>
    <w:p w:rsidR="000618FE" w:rsidRPr="00CB562F" w:rsidRDefault="000618FE" w:rsidP="000618FE">
      <w:pPr>
        <w:pStyle w:val="NoSpacing"/>
        <w:jc w:val="both"/>
        <w:rPr>
          <w:rFonts w:cstheme="minorHAnsi"/>
          <w:color w:val="000000" w:themeColor="text1"/>
        </w:rPr>
      </w:pPr>
    </w:p>
    <w:p w:rsidR="000618FE" w:rsidRPr="00CB562F" w:rsidRDefault="000618FE" w:rsidP="000618FE">
      <w:pPr>
        <w:pStyle w:val="NoSpacing"/>
        <w:jc w:val="both"/>
        <w:rPr>
          <w:rFonts w:cstheme="minorHAnsi"/>
          <w:color w:val="000000" w:themeColor="text1"/>
        </w:rPr>
      </w:pPr>
      <w:r w:rsidRPr="00CB562F">
        <w:rPr>
          <w:rFonts w:cstheme="minorHAnsi"/>
          <w:color w:val="000000" w:themeColor="text1"/>
        </w:rPr>
        <w:t>Foo K, et al, confirmed independent association of diabetes with RPP which was estimated to be 9% higher than in patients without diabetes</w:t>
      </w:r>
      <w:r w:rsidRPr="00CB562F">
        <w:rPr>
          <w:rFonts w:cstheme="minorHAnsi"/>
          <w:color w:val="000000" w:themeColor="text1"/>
          <w:vertAlign w:val="superscript"/>
        </w:rPr>
        <w:t>7</w:t>
      </w:r>
      <w:r w:rsidRPr="00CB562F">
        <w:rPr>
          <w:rFonts w:cstheme="minorHAnsi"/>
          <w:color w:val="000000" w:themeColor="text1"/>
        </w:rPr>
        <w:t xml:space="preserve">. Our study confirms the same in </w:t>
      </w:r>
      <w:r w:rsidRPr="00CB562F">
        <w:rPr>
          <w:rFonts w:cstheme="minorHAnsi"/>
          <w:bCs/>
          <w:color w:val="000000" w:themeColor="text1"/>
        </w:rPr>
        <w:t xml:space="preserve">diabetic cardiac autonomic neuropathy patients also. </w:t>
      </w:r>
      <w:r w:rsidRPr="00CB562F">
        <w:rPr>
          <w:rFonts w:cstheme="minorHAnsi"/>
          <w:color w:val="000000" w:themeColor="text1"/>
        </w:rPr>
        <w:t xml:space="preserve">Another observation in the study was that resting rate pressure product was highest in cardiac autonomic neuropathy patients.  </w:t>
      </w:r>
    </w:p>
    <w:p w:rsidR="000618FE" w:rsidRPr="00CB562F" w:rsidRDefault="000618FE" w:rsidP="000618FE">
      <w:pPr>
        <w:pStyle w:val="NoSpacing"/>
        <w:jc w:val="both"/>
        <w:rPr>
          <w:rFonts w:cstheme="minorHAnsi"/>
          <w:b/>
          <w:color w:val="000000" w:themeColor="text1"/>
        </w:rPr>
      </w:pPr>
    </w:p>
    <w:p w:rsidR="000618FE" w:rsidRPr="00CB562F" w:rsidRDefault="000618FE" w:rsidP="000618FE">
      <w:pPr>
        <w:pStyle w:val="NoSpacing"/>
        <w:jc w:val="both"/>
        <w:rPr>
          <w:rFonts w:cstheme="minorHAnsi"/>
          <w:color w:val="000000" w:themeColor="text1"/>
        </w:rPr>
      </w:pPr>
      <w:r w:rsidRPr="00CB562F">
        <w:rPr>
          <w:rFonts w:cstheme="minorHAnsi"/>
          <w:b/>
          <w:color w:val="000000" w:themeColor="text1"/>
        </w:rPr>
        <w:t xml:space="preserve">Conclusion: </w:t>
      </w:r>
      <w:r w:rsidRPr="00CB562F">
        <w:rPr>
          <w:rFonts w:cstheme="minorHAnsi"/>
          <w:color w:val="000000" w:themeColor="text1"/>
        </w:rPr>
        <w:t xml:space="preserve">We conclude that resting rate pressure product is significantly elevated in diabetics with cardiac autonomic neuropathy reflecting heightened myocardial oxygen demand at rest which may be the potential agent aggravating regional myocardial ischemia leading to unexplained sudden deaths in such patients. Limitations of the study include lesser number of patients taken.  Studies on patients with selective sympathetic/parasympathetic impairement will give a better insight into the state of resting rate pressure product.  </w:t>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p>
    <w:p w:rsidR="000618FE" w:rsidRPr="00CB562F" w:rsidRDefault="000618FE" w:rsidP="000618FE">
      <w:pPr>
        <w:pStyle w:val="NoSpacing"/>
        <w:jc w:val="both"/>
        <w:rPr>
          <w:rFonts w:cstheme="minorHAnsi"/>
          <w:b/>
          <w:color w:val="000000" w:themeColor="text1"/>
        </w:rPr>
      </w:pPr>
    </w:p>
    <w:p w:rsidR="000618FE" w:rsidRPr="00CB562F" w:rsidRDefault="000618FE" w:rsidP="000618FE">
      <w:pPr>
        <w:pStyle w:val="NoSpacing"/>
        <w:jc w:val="both"/>
        <w:rPr>
          <w:rFonts w:cstheme="minorHAnsi"/>
          <w:b/>
          <w:color w:val="000000" w:themeColor="text1"/>
        </w:rPr>
      </w:pPr>
      <w:r w:rsidRPr="00CB562F">
        <w:rPr>
          <w:rFonts w:cstheme="minorHAnsi"/>
          <w:b/>
          <w:color w:val="000000" w:themeColor="text1"/>
        </w:rPr>
        <w:t>Referencess</w:t>
      </w:r>
    </w:p>
    <w:p w:rsidR="000618FE" w:rsidRPr="00CB562F" w:rsidRDefault="000618FE" w:rsidP="000618FE">
      <w:pPr>
        <w:pStyle w:val="NoSpacing"/>
        <w:jc w:val="both"/>
        <w:rPr>
          <w:rFonts w:cstheme="minorHAnsi"/>
          <w:color w:val="000000" w:themeColor="text1"/>
          <w:lang w:eastAsia="en-IN"/>
        </w:rPr>
      </w:pPr>
      <w:r w:rsidRPr="00CB562F">
        <w:rPr>
          <w:rFonts w:cstheme="minorHAnsi"/>
          <w:color w:val="000000" w:themeColor="text1"/>
          <w:lang w:eastAsia="en-IN"/>
        </w:rPr>
        <w:t>1.Kempler P, Tesfaye S, Chaturvedi N. et al.</w:t>
      </w:r>
      <w:r w:rsidRPr="00CB562F">
        <w:rPr>
          <w:rFonts w:cstheme="minorHAnsi"/>
          <w:bCs/>
          <w:color w:val="000000" w:themeColor="text1"/>
          <w:lang w:eastAsia="en-IN"/>
        </w:rPr>
        <w:t xml:space="preserve"> Autonomic neuropathy is associated with increased cardiovascular risk factors: the EURODIAB IDDM Complications Study. </w:t>
      </w:r>
      <w:r w:rsidRPr="00CB562F">
        <w:rPr>
          <w:rFonts w:cstheme="minorHAnsi"/>
          <w:color w:val="000000" w:themeColor="text1"/>
          <w:lang w:eastAsia="en-IN"/>
        </w:rPr>
        <w:t>Diabet Med. 2002; 19: 900-909. </w:t>
      </w:r>
    </w:p>
    <w:p w:rsidR="000618FE" w:rsidRPr="00CB562F" w:rsidRDefault="000618FE" w:rsidP="000618FE">
      <w:pPr>
        <w:pStyle w:val="NoSpacing"/>
        <w:jc w:val="both"/>
        <w:rPr>
          <w:rFonts w:cstheme="minorHAnsi"/>
          <w:color w:val="000000" w:themeColor="text1"/>
          <w:lang w:eastAsia="en-IN"/>
        </w:rPr>
      </w:pPr>
      <w:r w:rsidRPr="00CB562F">
        <w:rPr>
          <w:rFonts w:cstheme="minorHAnsi"/>
          <w:color w:val="000000" w:themeColor="text1"/>
          <w:lang w:eastAsia="en-IN"/>
        </w:rPr>
        <w:lastRenderedPageBreak/>
        <w:t>2.Brownlee M, Lloyd A P, Cooper M E, Vinik A I, Nesto R W, Boulton A J M.  Complications of Diabetes Mellitus. In: H.M. Kronenberg, S. Melmed, K.S. Polonsky and P.R. Larsen editors. Williams textbook of Endocrinology.  11</w:t>
      </w:r>
      <w:r w:rsidRPr="00CB562F">
        <w:rPr>
          <w:rFonts w:cstheme="minorHAnsi"/>
          <w:color w:val="000000" w:themeColor="text1"/>
          <w:vertAlign w:val="superscript"/>
          <w:lang w:eastAsia="en-IN"/>
        </w:rPr>
        <w:t>th</w:t>
      </w:r>
      <w:r w:rsidRPr="00CB562F">
        <w:rPr>
          <w:rFonts w:cstheme="minorHAnsi"/>
          <w:color w:val="000000" w:themeColor="text1"/>
          <w:lang w:eastAsia="en-IN"/>
        </w:rPr>
        <w:t xml:space="preserve"> Ed. Philadelphia: Saunders. 2008: 1473-1474.</w:t>
      </w:r>
    </w:p>
    <w:p w:rsidR="000618FE" w:rsidRPr="00CB562F" w:rsidRDefault="000618FE" w:rsidP="000618FE">
      <w:pPr>
        <w:pStyle w:val="NoSpacing"/>
        <w:jc w:val="both"/>
        <w:rPr>
          <w:rFonts w:cstheme="minorHAnsi"/>
          <w:color w:val="000000" w:themeColor="text1"/>
          <w:lang w:eastAsia="en-IN"/>
        </w:rPr>
      </w:pPr>
      <w:r w:rsidRPr="00CB562F">
        <w:rPr>
          <w:rFonts w:cstheme="minorHAnsi"/>
          <w:color w:val="000000" w:themeColor="text1"/>
          <w:lang w:eastAsia="en-IN"/>
        </w:rPr>
        <w:t>3.Jain A.K. Manual of Practical Physiology for MBBS. 1</w:t>
      </w:r>
      <w:r w:rsidRPr="00CB562F">
        <w:rPr>
          <w:rFonts w:cstheme="minorHAnsi"/>
          <w:color w:val="000000" w:themeColor="text1"/>
          <w:vertAlign w:val="superscript"/>
          <w:lang w:eastAsia="en-IN"/>
        </w:rPr>
        <w:t>st</w:t>
      </w:r>
      <w:r w:rsidRPr="00CB562F">
        <w:rPr>
          <w:rFonts w:cstheme="minorHAnsi"/>
          <w:color w:val="000000" w:themeColor="text1"/>
          <w:lang w:eastAsia="en-IN"/>
        </w:rPr>
        <w:t xml:space="preserve"> edition. New Delhi: Arya Publications;2003:251-252.</w:t>
      </w:r>
    </w:p>
    <w:p w:rsidR="000618FE" w:rsidRPr="00CB562F" w:rsidRDefault="000618FE" w:rsidP="000618FE">
      <w:pPr>
        <w:pStyle w:val="NoSpacing"/>
        <w:jc w:val="both"/>
        <w:rPr>
          <w:rFonts w:cstheme="minorHAnsi"/>
          <w:color w:val="000000" w:themeColor="text1"/>
          <w:lang w:eastAsia="en-IN"/>
        </w:rPr>
      </w:pPr>
      <w:r w:rsidRPr="00CB562F">
        <w:rPr>
          <w:rFonts w:cstheme="minorHAnsi"/>
          <w:color w:val="000000" w:themeColor="text1"/>
          <w:lang w:eastAsia="en-IN"/>
        </w:rPr>
        <w:t xml:space="preserve"> 4.</w:t>
      </w:r>
      <w:r w:rsidRPr="00CB562F">
        <w:rPr>
          <w:rFonts w:eastAsia="Calibri" w:cstheme="minorHAnsi"/>
          <w:b/>
          <w:bCs/>
          <w:color w:val="000000" w:themeColor="text1"/>
          <w:lang w:val="en-IN"/>
        </w:rPr>
        <w:t xml:space="preserve">  </w:t>
      </w:r>
      <w:r w:rsidRPr="00CB562F">
        <w:rPr>
          <w:rFonts w:eastAsia="Calibri" w:cstheme="minorHAnsi"/>
          <w:bCs/>
          <w:color w:val="000000" w:themeColor="text1"/>
          <w:lang w:val="en-IN"/>
        </w:rPr>
        <w:t xml:space="preserve">Mohan M, Kaviraja, Bhavanani A. et. al. Effect of slow and fast pranayams on reaction time and cardiorespiratory variables. Ind  J  Physiol Pharmacol. 2005; 49(3) : 313-318. </w:t>
      </w:r>
    </w:p>
    <w:p w:rsidR="000618FE" w:rsidRPr="00CB562F" w:rsidRDefault="000618FE" w:rsidP="000618FE">
      <w:pPr>
        <w:pStyle w:val="NoSpacing"/>
        <w:jc w:val="both"/>
        <w:rPr>
          <w:rFonts w:cstheme="minorHAnsi"/>
          <w:color w:val="000000" w:themeColor="text1"/>
          <w:lang w:eastAsia="en-IN"/>
        </w:rPr>
      </w:pPr>
      <w:r w:rsidRPr="00CB562F">
        <w:rPr>
          <w:rFonts w:cstheme="minorHAnsi"/>
          <w:color w:val="000000" w:themeColor="text1"/>
          <w:lang w:eastAsia="en-IN"/>
        </w:rPr>
        <w:t>5.Vinik A I, Ziegler D.</w:t>
      </w:r>
      <w:r w:rsidRPr="00CB562F">
        <w:rPr>
          <w:rFonts w:cstheme="minorHAnsi"/>
          <w:bCs/>
          <w:color w:val="000000" w:themeColor="text1"/>
          <w:lang w:eastAsia="en-IN"/>
        </w:rPr>
        <w:t xml:space="preserve"> Diabetic cardiovascular autonomic neuropathy. </w:t>
      </w:r>
      <w:r w:rsidRPr="00CB562F">
        <w:rPr>
          <w:rFonts w:cstheme="minorHAnsi"/>
          <w:iCs/>
          <w:color w:val="000000" w:themeColor="text1"/>
          <w:lang w:eastAsia="en-IN"/>
        </w:rPr>
        <w:t>Circulation. 2007; 1</w:t>
      </w:r>
      <w:r w:rsidRPr="00CB562F">
        <w:rPr>
          <w:rFonts w:cstheme="minorHAnsi"/>
          <w:color w:val="000000" w:themeColor="text1"/>
          <w:lang w:eastAsia="en-IN"/>
        </w:rPr>
        <w:t>15: 387-397. </w:t>
      </w:r>
    </w:p>
    <w:p w:rsidR="000618FE" w:rsidRPr="00CB562F" w:rsidRDefault="000618FE" w:rsidP="000618FE">
      <w:pPr>
        <w:pStyle w:val="NoSpacing"/>
        <w:jc w:val="both"/>
        <w:rPr>
          <w:rFonts w:cstheme="minorHAnsi"/>
          <w:color w:val="000000" w:themeColor="text1"/>
          <w:vertAlign w:val="superscript"/>
          <w:lang w:eastAsia="en-IN"/>
        </w:rPr>
      </w:pPr>
      <w:r w:rsidRPr="00CB562F">
        <w:rPr>
          <w:rFonts w:cstheme="minorHAnsi"/>
          <w:color w:val="000000" w:themeColor="text1"/>
          <w:lang w:eastAsia="en-IN"/>
        </w:rPr>
        <w:t>6.</w:t>
      </w:r>
      <w:r w:rsidRPr="00CB562F">
        <w:rPr>
          <w:rFonts w:cstheme="minorHAnsi"/>
          <w:bCs/>
          <w:color w:val="000000" w:themeColor="text1"/>
        </w:rPr>
        <w:t xml:space="preserve"> </w:t>
      </w:r>
      <w:r w:rsidRPr="00CB562F">
        <w:rPr>
          <w:rFonts w:cstheme="minorHAnsi"/>
          <w:color w:val="000000" w:themeColor="text1"/>
          <w:shd w:val="clear" w:color="auto" w:fill="FFFFFF"/>
        </w:rPr>
        <w:t xml:space="preserve">Bertomeu V,  Facila L, Juanatey J R G,  Calvo L C,  Aznar J, Mazon P. </w:t>
      </w:r>
      <w:r w:rsidRPr="00CB562F">
        <w:rPr>
          <w:rFonts w:cstheme="minorHAnsi"/>
          <w:bCs/>
          <w:color w:val="000000" w:themeColor="text1"/>
        </w:rPr>
        <w:t xml:space="preserve">Blood Pressure Control in Hypertensive Patients With Left Ventricular Hypertrophy. The VIIDA Study  </w:t>
      </w:r>
      <w:r w:rsidRPr="00CB562F">
        <w:rPr>
          <w:rFonts w:cstheme="minorHAnsi"/>
          <w:color w:val="000000" w:themeColor="text1"/>
          <w:shd w:val="clear" w:color="auto" w:fill="FFFFFF"/>
        </w:rPr>
        <w:t>Rev Esp Cardiol. 2007; 60: 1257-63.</w:t>
      </w:r>
    </w:p>
    <w:p w:rsidR="000618FE" w:rsidRPr="00CB562F" w:rsidRDefault="000618FE" w:rsidP="000618FE">
      <w:pPr>
        <w:pStyle w:val="NoSpacing"/>
        <w:jc w:val="both"/>
        <w:rPr>
          <w:rFonts w:cstheme="minorHAnsi"/>
          <w:color w:val="000000" w:themeColor="text1"/>
        </w:rPr>
      </w:pPr>
      <w:r w:rsidRPr="00CB562F">
        <w:rPr>
          <w:rFonts w:cstheme="minorHAnsi"/>
          <w:color w:val="000000" w:themeColor="text1"/>
          <w:lang w:eastAsia="en-IN"/>
        </w:rPr>
        <w:t xml:space="preserve">7.Foo K, Sekhri N, Knight C, et al. </w:t>
      </w:r>
      <w:hyperlink r:id="rId8" w:tgtFrame="_blank" w:history="1">
        <w:r w:rsidRPr="00CB562F">
          <w:rPr>
            <w:rFonts w:cstheme="minorHAnsi"/>
            <w:color w:val="000000" w:themeColor="text1"/>
            <w:lang w:eastAsia="en-IN"/>
          </w:rPr>
          <w:t>The effect of diabetes on heart rate and other determinants of myocardial oxygen demand in acute coronary syndromes</w:t>
        </w:r>
      </w:hyperlink>
      <w:r w:rsidRPr="00CB562F">
        <w:rPr>
          <w:rFonts w:cstheme="minorHAnsi"/>
          <w:color w:val="000000" w:themeColor="text1"/>
          <w:lang w:eastAsia="en-IN"/>
        </w:rPr>
        <w:t>. Diabet Med. 2004 ; 21: 1025-31.</w:t>
      </w:r>
    </w:p>
    <w:p w:rsidR="000618FE" w:rsidRPr="00CB562F" w:rsidRDefault="000618FE" w:rsidP="000618FE">
      <w:pPr>
        <w:pStyle w:val="NoSpacing"/>
        <w:jc w:val="both"/>
        <w:rPr>
          <w:rFonts w:cstheme="minorHAnsi"/>
          <w:b/>
          <w:color w:val="000000" w:themeColor="text1"/>
        </w:rPr>
      </w:pPr>
    </w:p>
    <w:p w:rsidR="000618FE" w:rsidRPr="00CB562F" w:rsidRDefault="000618FE" w:rsidP="000618FE">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0E4872" w:rsidRPr="000618FE" w:rsidRDefault="000E4872" w:rsidP="000618FE"/>
    <w:sectPr w:rsidR="000E4872" w:rsidRPr="000618FE" w:rsidSect="006E2971">
      <w:headerReference w:type="default" r:id="rId9"/>
      <w:footerReference w:type="default" r:id="rId10"/>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80B" w:rsidRDefault="00CA380B" w:rsidP="005C1565">
      <w:pPr>
        <w:spacing w:after="0" w:line="240" w:lineRule="auto"/>
      </w:pPr>
      <w:r>
        <w:separator/>
      </w:r>
    </w:p>
  </w:endnote>
  <w:endnote w:type="continuationSeparator" w:id="1">
    <w:p w:rsidR="00CA380B" w:rsidRDefault="00CA380B"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0618FE" w:rsidRPr="000618FE">
        <w:rPr>
          <w:rFonts w:asciiTheme="majorHAnsi" w:hAnsiTheme="majorHAnsi"/>
          <w:noProof/>
        </w:rPr>
        <w:t>144</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80B" w:rsidRDefault="00CA380B" w:rsidP="005C1565">
      <w:pPr>
        <w:spacing w:after="0" w:line="240" w:lineRule="auto"/>
      </w:pPr>
      <w:r>
        <w:separator/>
      </w:r>
    </w:p>
  </w:footnote>
  <w:footnote w:type="continuationSeparator" w:id="1">
    <w:p w:rsidR="00CA380B" w:rsidRDefault="00CA380B"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418"/>
      <w:dataBinding w:prefixMappings="xmlns:ns0='http://schemas.openxmlformats.org/package/2006/metadata/core-properties' xmlns:ns1='http://purl.org/dc/elements/1.1/'" w:xpath="/ns0:coreProperties[1]/ns1:title[1]" w:storeItemID="{6C3C8BC8-F283-45AE-878A-BAB7291924A1}"/>
      <w:text/>
    </w:sdtPr>
    <w:sdtContent>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p>
    </w:sdtContent>
  </w:sdt>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18FE"/>
    <w:rsid w:val="000645EA"/>
    <w:rsid w:val="0006653B"/>
    <w:rsid w:val="00070CFC"/>
    <w:rsid w:val="00073E2F"/>
    <w:rsid w:val="000850DB"/>
    <w:rsid w:val="0008551B"/>
    <w:rsid w:val="0008731C"/>
    <w:rsid w:val="00091E77"/>
    <w:rsid w:val="0009577B"/>
    <w:rsid w:val="000C4801"/>
    <w:rsid w:val="000D348B"/>
    <w:rsid w:val="000E2902"/>
    <w:rsid w:val="000E487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7D4488"/>
    <w:rsid w:val="0080093F"/>
    <w:rsid w:val="00801939"/>
    <w:rsid w:val="00810065"/>
    <w:rsid w:val="00814A5C"/>
    <w:rsid w:val="00821BEA"/>
    <w:rsid w:val="00822AAF"/>
    <w:rsid w:val="00823422"/>
    <w:rsid w:val="00827103"/>
    <w:rsid w:val="008334F9"/>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46D6E"/>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380B"/>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74AFE"/>
    <w:rsid w:val="00E81AAC"/>
    <w:rsid w:val="00E8263B"/>
    <w:rsid w:val="00E96686"/>
    <w:rsid w:val="00EC563B"/>
    <w:rsid w:val="00ED34A2"/>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8FE"/>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15317609?itool=EntrezSystem2.PEntrez.Pubmed.Pubmed_ResultsPanel.Pubmed_RVDocSum&amp;ordinalpos=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 w:type="paragraph" w:customStyle="1" w:styleId="B8B4A147E92F47F6B5D51598679D3A07">
    <w:name w:val="B8B4A147E92F47F6B5D51598679D3A07"/>
    <w:rsid w:val="0083328E"/>
    <w:rPr>
      <w:lang w:bidi="ar-SA"/>
    </w:rPr>
  </w:style>
  <w:style w:type="paragraph" w:customStyle="1" w:styleId="4053D2731DFA4B7AA1D9D04660554781">
    <w:name w:val="4053D2731DFA4B7AA1D9D04660554781"/>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2017-11-06T08:12:00Z</dcterms:created>
  <dcterms:modified xsi:type="dcterms:W3CDTF">2017-11-06T08:12:00Z</dcterms:modified>
</cp:coreProperties>
</file>