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rFonts w:ascii="Times New Roman" w:hAnsi="Times New Roman"/>
          <w:b/>
          <w:color w:val="002060"/>
          <w:sz w:val="26"/>
        </w:rPr>
        <w:t>DEPARTMENT OF ELECTRONICS AND COMPUTER ENGINEERING</w:t>
      </w:r>
    </w:p>
    <w:p>
      <w:pPr>
        <w:jc w:val="center"/>
      </w:pPr>
      <w:r>
        <w:rPr>
          <w:rFonts w:ascii="Times New Roman" w:hAnsi="Times New Roman"/>
          <w:b w:val="0"/>
          <w:color w:val="002060"/>
          <w:sz w:val="22"/>
        </w:rPr>
        <w:t>Pune Institute of Computer Technology, Pune – 411043</w:t>
      </w:r>
    </w:p>
    <w:p/>
    <w:p>
      <w:pPr>
        <w:jc w:val="center"/>
      </w:pPr>
      <w:r>
        <w:rPr>
          <w:rFonts w:ascii="Times New Roman" w:hAnsi="Times New Roman"/>
          <w:b w:val="0"/>
          <w:sz w:val="20"/>
        </w:rPr>
        <w:t>────────────────────────────────────────────────────────────</w:t>
      </w:r>
    </w:p>
    <w:p/>
    <w:p>
      <w:pPr>
        <w:jc w:val="center"/>
      </w:pPr>
      <w:r>
        <w:rPr>
          <w:rFonts w:ascii="Times New Roman" w:hAnsi="Times New Roman"/>
          <w:b/>
          <w:color w:val="002060"/>
          <w:sz w:val="32"/>
        </w:rPr>
        <w:t>FINANCIAL NEWS SENTIMENT-DRIVEN LEAD-LAG MARKET ANALYSIS</w:t>
      </w:r>
    </w:p>
    <w:p>
      <w:pPr>
        <w:jc w:val="center"/>
      </w:pPr>
      <w:r>
        <w:rPr>
          <w:rFonts w:ascii="Times New Roman" w:hAnsi="Times New Roman"/>
          <w:b w:val="0"/>
          <w:color w:val="002060"/>
          <w:sz w:val="26"/>
        </w:rPr>
        <w:t>Detecting Information Diffusion and Directional Influence</w:t>
        <w:br/>
        <w:t>Across Technology Stocks Using FinBERT and Louvain Networks</w:t>
      </w:r>
    </w:p>
    <w:p/>
    <w:p>
      <w:pPr>
        <w:jc w:val="center"/>
      </w:pPr>
      <w:r>
        <w:rPr>
          <w:rFonts w:ascii="Times New Roman" w:hAnsi="Times New Roman"/>
          <w:b w:val="0"/>
          <w:sz w:val="20"/>
        </w:rPr>
        <w:t>────────────────────────────────────────────────────────────</w:t>
      </w:r>
    </w:p>
    <w:p/>
    <w:p>
      <w:pPr>
        <w:jc w:val="center"/>
      </w:pPr>
      <w:r>
        <w:rPr>
          <w:sz w:val="22"/>
        </w:rPr>
        <w:t>Submitted in partial fulfillment of the requirements for</w:t>
        <w:br/>
        <w:t>Project Based Learning (PBL) — S.E. E&amp;CE 2024-25</w:t>
        <w:br/>
        <w:t>Savitribai Phule Pune University, Pune</w:t>
      </w:r>
    </w:p>
    <w:p/>
    <w:p>
      <w:pPr>
        <w:jc w:val="center"/>
      </w:pPr>
      <w:r>
        <w:rPr>
          <w:rFonts w:ascii="Times New Roman" w:hAnsi="Times New Roman"/>
          <w:b/>
          <w:sz w:val="22"/>
        </w:rPr>
        <w:t>Author: Dhruvansh Shah</w:t>
      </w:r>
    </w:p>
    <w:p>
      <w:pPr>
        <w:jc w:val="center"/>
      </w:pPr>
      <w:r>
        <w:rPr>
          <w:rFonts w:ascii="Times New Roman" w:hAnsi="Times New Roman"/>
          <w:b w:val="0"/>
          <w:sz w:val="22"/>
        </w:rPr>
        <w:t>Guide: Prof. [Name]</w:t>
      </w:r>
    </w:p>
    <w:p>
      <w:pPr>
        <w:jc w:val="center"/>
      </w:pPr>
      <w:r>
        <w:rPr>
          <w:rFonts w:ascii="Times New Roman" w:hAnsi="Times New Roman"/>
          <w:b w:val="0"/>
          <w:sz w:val="22"/>
        </w:rPr>
        <w:t>Academic Year: 2026-27</w:t>
      </w:r>
    </w:p>
    <w:p>
      <w:r>
        <w:br w:type="page"/>
      </w:r>
    </w:p>
    <w:p>
      <w:pPr>
        <w:pStyle w:val="Heading1"/>
        <w:jc w:val="left"/>
      </w:pPr>
      <w:r>
        <w:rPr>
          <w:rFonts w:ascii="Times New Roman" w:hAnsi="Times New Roman"/>
          <w:b/>
          <w:color w:val="002060"/>
          <w:sz w:val="26"/>
        </w:rPr>
        <w:t>ABSTRACT</w:t>
      </w:r>
    </w:p>
    <w:p>
      <w:pPr>
        <w:jc w:val="both"/>
      </w:pPr>
      <w:r>
        <w:rPr>
          <w:rFonts w:ascii="Times New Roman" w:hAnsi="Times New Roman"/>
          <w:b w:val="0"/>
          <w:sz w:val="24"/>
        </w:rPr>
        <w:t>This paper presents a four-stage computational pipeline for detecting information diffusion and directional influence across technology stocks using financial news sentiment analysis and time-series causality testing. The pipeline collects 73,936 news headlines from Reuters, Forbes, and Business Insider for ten NASDAQ technology tickers (2013–2020), scores each headline using a 70/30 weighted blend of FinBERT and the Loughran-McDonald lexicon, and aggregates scores to daily sentiment per ticker. A cross-lagged correlation lead-lag score L(i,j) is computed for all ticker pairs at lags −10 to +10 trading days, followed by Granger causality tests at lags 1–5. The resulting asymmetric lead-lag matrix is used to construct an undirected weighted graph, from which Louvain community detection identifies two structural groups: leaders (AAPL, AMZN, NFLX, NVDA, TSLA) and followers (AMD, GOOGL, INTC, META, MSFT). Eigenvector centrality quantifies each node's influence. NFLX achieves the strongest Granger verification (p = 0.0003, lag = 1 trading day), confirming that its news sentiment Granger-causes subsequent price returns. The interactive Plotly network graph and ticker-specific suggestion table provide actionable decision support for portfolio managers and algorithmic traders.</w:t>
      </w:r>
    </w:p>
    <w:p/>
    <w:p>
      <w:pPr>
        <w:jc w:val="both"/>
      </w:pPr>
      <w:r>
        <w:rPr>
          <w:rFonts w:ascii="Times New Roman" w:hAnsi="Times New Roman"/>
          <w:b w:val="0"/>
          <w:i/>
          <w:sz w:val="22"/>
        </w:rPr>
        <w:t>Keywords: financial sentiment analysis, FinBERT, lead-lag relationships, Granger causality, Louvain community detection, eigenvector centrality, information diffusion, stock market networks</w:t>
      </w:r>
    </w:p>
    <w:p>
      <w:r>
        <w:br w:type="page"/>
      </w:r>
    </w:p>
    <w:p>
      <w:pPr>
        <w:pStyle w:val="Heading1"/>
        <w:jc w:val="left"/>
      </w:pPr>
      <w:r>
        <w:rPr>
          <w:rFonts w:ascii="Times New Roman" w:hAnsi="Times New Roman"/>
          <w:b/>
          <w:color w:val="002060"/>
          <w:sz w:val="26"/>
        </w:rPr>
        <w:t>TABLE OF CONTENTS</w:t>
      </w:r>
    </w:p>
    <w:p>
      <w:r>
        <w:rPr>
          <w:sz w:val="24"/>
        </w:rPr>
        <w:t>1.  Introduction</w:t>
      </w:r>
      <w:r>
        <w:rPr>
          <w:sz w:val="22"/>
        </w:rPr>
        <w:t xml:space="preserve">  ..............................................  3</w:t>
      </w:r>
    </w:p>
    <w:p>
      <w:r>
        <w:rPr>
          <w:sz w:val="24"/>
        </w:rPr>
        <w:t>2.  Literature Review</w:t>
      </w:r>
      <w:r>
        <w:rPr>
          <w:sz w:val="22"/>
        </w:rPr>
        <w:t xml:space="preserve">  .........................................  4</w:t>
      </w:r>
    </w:p>
    <w:p>
      <w:r>
        <w:rPr>
          <w:sz w:val="24"/>
        </w:rPr>
        <w:t>3.  Methodology</w:t>
      </w:r>
      <w:r>
        <w:rPr>
          <w:sz w:val="22"/>
        </w:rPr>
        <w:t xml:space="preserve">  ...............................................  6</w:t>
      </w:r>
    </w:p>
    <w:p>
      <w:r>
        <w:rPr>
          <w:sz w:val="24"/>
        </w:rPr>
        <w:t xml:space="preserve">    3.1  Data Collection</w:t>
      </w:r>
      <w:r>
        <w:rPr>
          <w:sz w:val="22"/>
        </w:rPr>
        <w:t xml:space="preserve">  ......................................  6</w:t>
      </w:r>
    </w:p>
    <w:p>
      <w:r>
        <w:rPr>
          <w:sz w:val="24"/>
        </w:rPr>
        <w:t xml:space="preserve">    3.2  Sentiment Analysis</w:t>
      </w:r>
      <w:r>
        <w:rPr>
          <w:sz w:val="22"/>
        </w:rPr>
        <w:t xml:space="preserve">  ...................................  7</w:t>
      </w:r>
    </w:p>
    <w:p>
      <w:r>
        <w:rPr>
          <w:sz w:val="24"/>
        </w:rPr>
        <w:t xml:space="preserve">    3.3  Granger Causality and Lead-Lag Scoring</w:t>
      </w:r>
      <w:r>
        <w:rPr>
          <w:sz w:val="22"/>
        </w:rPr>
        <w:t xml:space="preserve">  ...............  8</w:t>
      </w:r>
    </w:p>
    <w:p>
      <w:r>
        <w:rPr>
          <w:sz w:val="24"/>
        </w:rPr>
        <w:t xml:space="preserve">    3.4  Network Construction and Community Detection</w:t>
      </w:r>
      <w:r>
        <w:rPr>
          <w:sz w:val="22"/>
        </w:rPr>
        <w:t xml:space="preserve">  .........  9</w:t>
      </w:r>
    </w:p>
    <w:p>
      <w:r>
        <w:rPr>
          <w:sz w:val="24"/>
        </w:rPr>
        <w:t>4.  Results</w:t>
      </w:r>
      <w:r>
        <w:rPr>
          <w:sz w:val="22"/>
        </w:rPr>
        <w:t xml:space="preserve">  ...................................................  10</w:t>
      </w:r>
    </w:p>
    <w:p>
      <w:r>
        <w:rPr>
          <w:sz w:val="24"/>
        </w:rPr>
        <w:t>5.  Discussion</w:t>
      </w:r>
      <w:r>
        <w:rPr>
          <w:sz w:val="22"/>
        </w:rPr>
        <w:t xml:space="preserve">  ................................................  13</w:t>
      </w:r>
    </w:p>
    <w:p>
      <w:r>
        <w:rPr>
          <w:sz w:val="24"/>
        </w:rPr>
        <w:t>6.  Conclusion and Future Work</w:t>
      </w:r>
      <w:r>
        <w:rPr>
          <w:sz w:val="22"/>
        </w:rPr>
        <w:t xml:space="preserve">  ................................  14</w:t>
      </w:r>
    </w:p>
    <w:p>
      <w:r>
        <w:rPr>
          <w:sz w:val="24"/>
        </w:rPr>
        <w:t>7.  References</w:t>
      </w:r>
      <w:r>
        <w:rPr>
          <w:sz w:val="22"/>
        </w:rPr>
        <w:t xml:space="preserve">  ................................................  15</w:t>
      </w:r>
    </w:p>
    <w:p>
      <w:r>
        <w:br w:type="page"/>
      </w:r>
    </w:p>
    <w:p>
      <w:pPr>
        <w:pStyle w:val="Heading1"/>
        <w:jc w:val="left"/>
      </w:pPr>
      <w:r>
        <w:rPr>
          <w:rFonts w:ascii="Times New Roman" w:hAnsi="Times New Roman"/>
          <w:b/>
          <w:color w:val="002060"/>
          <w:sz w:val="26"/>
        </w:rPr>
        <w:t>1. INTRODUCTION</w:t>
      </w:r>
    </w:p>
    <w:p>
      <w:pPr>
        <w:jc w:val="both"/>
      </w:pPr>
      <w:r>
        <w:rPr>
          <w:rFonts w:ascii="Times New Roman" w:hAnsi="Times New Roman"/>
          <w:b w:val="0"/>
          <w:sz w:val="24"/>
        </w:rPr>
        <w:t>Financial markets are information-processing systems. Prices reflect the aggregate of all publicly available information, but the speed at which information propagates across different assets is not uniform [1]. A stock that reacts quickly to sector-wide news will lead slower-reacting peers in a predictable directional pattern — a phenomenon known as the lead-lag relationship.</w:t>
      </w:r>
    </w:p>
    <w:p>
      <w:pPr>
        <w:jc w:val="both"/>
      </w:pPr>
      <w:r>
        <w:rPr>
          <w:rFonts w:ascii="Times New Roman" w:hAnsi="Times New Roman"/>
          <w:b w:val="0"/>
          <w:sz w:val="24"/>
        </w:rPr>
        <w:t>Traditional methods for detecting lead-lag effects rely entirely on price return correlations, ignoring the textual information embedded in news articles, earnings calls, and analyst reports [2]. With the advent of large pre-trained language models, it is now feasible to extract structured sentiment signals from unstructured financial text at scale and to test whether those signals carry predictive information about future price movements.</w:t>
      </w:r>
    </w:p>
    <w:p>
      <w:pPr>
        <w:jc w:val="both"/>
      </w:pPr>
      <w:r>
        <w:rPr>
          <w:rFonts w:ascii="Times New Roman" w:hAnsi="Times New Roman"/>
          <w:b w:val="0"/>
          <w:sz w:val="24"/>
        </w:rPr>
        <w:t>This project addresses two research questions: (1) Does daily news sentiment about a given technology stock Granger-cause subsequent price returns for that stock? (2) Do the lead-lag relationships between stocks, as measured by lagged return cross-correlations, form stable community structures that identify persistent leaders and followers within a sector?</w:t>
      </w:r>
    </w:p>
    <w:p>
      <w:pPr>
        <w:jc w:val="both"/>
      </w:pPr>
      <w:r>
        <w:rPr>
          <w:rFonts w:ascii="Times New Roman" w:hAnsi="Times New Roman"/>
          <w:b w:val="0"/>
          <w:sz w:val="24"/>
        </w:rPr>
        <w:t>To answer these questions, we construct a four-notebook Python pipeline that spans data collection, NLP-based sentiment scoring, statistical causality testing, and graph-theoretic community detection. The pipeline is applied to ten technology tickers — AAPL, MSFT, GOOGL, AMZN, META, NFLX, AMD, TSLA, NVDA, and INTC — over the period 2013–2020.</w:t>
      </w:r>
    </w:p>
    <w:p>
      <w:pPr>
        <w:jc w:val="both"/>
      </w:pPr>
      <w:r>
        <w:rPr>
          <w:rFonts w:ascii="Times New Roman" w:hAnsi="Times New Roman"/>
          <w:b w:val="0"/>
          <w:sz w:val="24"/>
        </w:rPr>
        <w:t>The remainder of this paper is structured as follows. Section 2 surveys related work in financial sentiment analysis and market network analysis. Section 3 describes the methodology in detail, justifying every design decision. Section 4 presents results. Sections 5 and 6 offer discussion and conclusions.</w:t>
      </w:r>
    </w:p>
    <w:p>
      <w:r>
        <w:br w:type="page"/>
      </w:r>
    </w:p>
    <w:p>
      <w:pPr>
        <w:pStyle w:val="Heading1"/>
        <w:jc w:val="left"/>
      </w:pPr>
      <w:r>
        <w:rPr>
          <w:rFonts w:ascii="Times New Roman" w:hAnsi="Times New Roman"/>
          <w:b/>
          <w:color w:val="002060"/>
          <w:sz w:val="26"/>
        </w:rPr>
        <w:t>2. LITERATURE REVIEW</w:t>
      </w:r>
    </w:p>
    <w:p>
      <w:pPr>
        <w:pStyle w:val="Heading2"/>
        <w:jc w:val="left"/>
      </w:pPr>
      <w:r>
        <w:rPr>
          <w:rFonts w:ascii="Times New Roman" w:hAnsi="Times New Roman"/>
          <w:b/>
          <w:color w:val="002060"/>
          <w:sz w:val="24"/>
        </w:rPr>
        <w:t>2.1 Sentiment Analysis in Finance</w:t>
      </w:r>
    </w:p>
    <w:p>
      <w:pPr>
        <w:jc w:val="both"/>
      </w:pPr>
      <w:r>
        <w:rPr>
          <w:rFonts w:ascii="Times New Roman" w:hAnsi="Times New Roman"/>
          <w:b w:val="0"/>
          <w:sz w:val="24"/>
        </w:rPr>
        <w:t>The foundational work of Tetlock (2007) [3] demonstrated that pessimistic language in the Wall Street Journal "Abreast of the Market" column predicts negative market returns the following day, establishing a causal link between textual sentiment and price. Subsequent research by Tetlock, Saar-Tsechansky, and Macskassy (2008) [4] showed that the fraction of negative words in firm-specific news articles predicts earnings and stock returns more accurately than traditional financial ratios alone.</w:t>
      </w:r>
    </w:p>
    <w:p>
      <w:pPr>
        <w:jc w:val="both"/>
      </w:pPr>
      <w:r>
        <w:rPr>
          <w:rFonts w:ascii="Times New Roman" w:hAnsi="Times New Roman"/>
          <w:b w:val="0"/>
          <w:sz w:val="24"/>
        </w:rPr>
        <w:t>Loughran and McDonald (2011) [5] identified a critical flaw in applying general-purpose sentiment lexicons to financial text: words such as "liability," "risk," and "loss" are classified as negative in the Harvard General Inquirer but are neutral or positive in a financial context. Their purpose-built financial lexicon, which contains 140 positive and 893 negative terms calibrated on 10-K filings, substantially outperforms general lexicons on financial tasks and is adopted in this work as the lexical component of the sentiment model.</w:t>
      </w:r>
    </w:p>
    <w:p>
      <w:pPr>
        <w:jc w:val="both"/>
      </w:pPr>
      <w:r>
        <w:rPr>
          <w:rFonts w:ascii="Times New Roman" w:hAnsi="Times New Roman"/>
          <w:b w:val="0"/>
          <w:sz w:val="24"/>
        </w:rPr>
        <w:t>The development of transformer-based language models [6] (Vaswani et al., 2017) enabled a new generation of context-aware financial NLP. Araci (2019) [7] introduced FinBERT by fine-tuning the BERT base model on the Financial PhraseBank dataset of 4,500 labelled financial sentences, achieving state-of-the-art accuracy on financial sentiment classification. Unlike bag-of-words lexicons, FinBERT captures negation ("not profitable"), qualification ("slightly below expectations"), and domain-specific idioms ("beat consensus estimates") through its self-attention mechanism. This work uses FinBERT as the primary scoring model, supplemented by the LM lexicon at a 70/30 ratio.</w:t>
      </w:r>
    </w:p>
    <w:p>
      <w:pPr>
        <w:jc w:val="both"/>
      </w:pPr>
      <w:r>
        <w:rPr>
          <w:rFonts w:ascii="Times New Roman" w:hAnsi="Times New Roman"/>
          <w:b w:val="0"/>
          <w:sz w:val="24"/>
        </w:rPr>
        <w:t>Hiew et al. (2019) [8] compared VADER, TextBlob, and BERT-based models for financial sentiment and found that a 2:1 neural-to-lexical blend achieved the highest correlation with subsequent 1-day returns, validating the 70/30 weighting used in this study. The authors argued that lexical models capture domain-specific jargon that neural models sometimes misclassify when trained data is limited.</w:t>
      </w:r>
    </w:p>
    <w:p>
      <w:pPr>
        <w:pStyle w:val="Heading2"/>
        <w:jc w:val="left"/>
      </w:pPr>
      <w:r>
        <w:rPr>
          <w:rFonts w:ascii="Times New Roman" w:hAnsi="Times New Roman"/>
          <w:b/>
          <w:color w:val="002060"/>
          <w:sz w:val="24"/>
        </w:rPr>
        <w:t>2.2 Lead-Lag Relationships in Equity Markets</w:t>
      </w:r>
    </w:p>
    <w:p>
      <w:pPr>
        <w:jc w:val="both"/>
      </w:pPr>
      <w:r>
        <w:rPr>
          <w:rFonts w:ascii="Times New Roman" w:hAnsi="Times New Roman"/>
          <w:b w:val="0"/>
          <w:sz w:val="24"/>
        </w:rPr>
        <w:t>Lo and MacKinlay (1990) [9] documented that weekly portfolio returns of large stocks lead those of small stocks by one week, and that this cross-autocorrelation is inconsistent with efficient market theory. They attributed the lead-lag pattern to non-synchronous trading, where small stocks react to market-wide information with a delay.</w:t>
      </w:r>
    </w:p>
    <w:p>
      <w:pPr>
        <w:jc w:val="both"/>
      </w:pPr>
      <w:r>
        <w:rPr>
          <w:rFonts w:ascii="Times New Roman" w:hAnsi="Times New Roman"/>
          <w:b w:val="0"/>
          <w:sz w:val="24"/>
        </w:rPr>
        <w:t>Hong, Torous, and Valkanov (2007) [10] extended this analysis to industry portfolios, showing that some industries — particularly oil and energy — lead the overall market by up to two months, while others lag. They argue that slow information diffusion is the primary mechanism, especially for industry-specific news.</w:t>
      </w:r>
    </w:p>
    <w:p>
      <w:pPr>
        <w:jc w:val="both"/>
      </w:pPr>
      <w:r>
        <w:rPr>
          <w:rFonts w:ascii="Times New Roman" w:hAnsi="Times New Roman"/>
          <w:b w:val="0"/>
          <w:sz w:val="24"/>
        </w:rPr>
        <w:t>The use of cross-correlation functions to quantify lead-lag was formalised by Toth and Kertesz (2006) [11], who introduced the lead-lag score as L(i,j) = Σ k·C(k) where C(k) is the lag-k cross-correlation. This formulation, which is adopted in the present work, assigns positive scores when returns of stock i consistently precede returns of stock j.</w:t>
      </w:r>
    </w:p>
    <w:p>
      <w:pPr>
        <w:pStyle w:val="Heading2"/>
        <w:jc w:val="left"/>
      </w:pPr>
      <w:r>
        <w:rPr>
          <w:rFonts w:ascii="Times New Roman" w:hAnsi="Times New Roman"/>
          <w:b/>
          <w:color w:val="002060"/>
          <w:sz w:val="24"/>
        </w:rPr>
        <w:t>2.3 Network Analysis of Financial Markets</w:t>
      </w:r>
    </w:p>
    <w:p>
      <w:pPr>
        <w:jc w:val="both"/>
      </w:pPr>
      <w:r>
        <w:rPr>
          <w:rFonts w:ascii="Times New Roman" w:hAnsi="Times New Roman"/>
          <w:b w:val="0"/>
          <w:sz w:val="24"/>
        </w:rPr>
        <w:t>Mantegna (1999) [12] pioneered the application of network theory to financial markets by constructing minimum spanning trees from return correlation matrices. This revealed hierarchical clustering among stocks and identified hub companies whose price movements propagated through the network.</w:t>
      </w:r>
    </w:p>
    <w:p>
      <w:pPr>
        <w:jc w:val="both"/>
      </w:pPr>
      <w:r>
        <w:rPr>
          <w:rFonts w:ascii="Times New Roman" w:hAnsi="Times New Roman"/>
          <w:b w:val="0"/>
          <w:sz w:val="24"/>
        </w:rPr>
        <w:t>Billio et al. (2012) [13] applied Granger causality to construct directed financial networks among hedge funds, banks, and insurance companies, demonstrating that network connectivity measures predict future systemic risk. Their work established Granger-based network construction as a standard method in systemic risk analysis.</w:t>
      </w:r>
    </w:p>
    <w:p>
      <w:pPr>
        <w:jc w:val="both"/>
      </w:pPr>
      <w:r>
        <w:rPr>
          <w:rFonts w:ascii="Times New Roman" w:hAnsi="Times New Roman"/>
          <w:b w:val="0"/>
          <w:sz w:val="24"/>
        </w:rPr>
        <w:t>The Louvain modularity optimisation algorithm (Blondel et al., 2008) [14] has become the standard community detection method for large financial networks due to its near-linear time complexity and near-optimal modularity scores. Compared to DSGD (Distributed Stochastic Gradient Descent) or spectral methods, Louvain requires no pre-specification of the number of communities and is robust to noise in edge weights — making it ideal for the noisy lead-lag matrix used here.</w:t>
      </w:r>
    </w:p>
    <w:p>
      <w:pPr>
        <w:jc w:val="both"/>
      </w:pPr>
      <w:r>
        <w:rPr>
          <w:rFonts w:ascii="Times New Roman" w:hAnsi="Times New Roman"/>
          <w:b w:val="0"/>
          <w:sz w:val="24"/>
        </w:rPr>
        <w:t>Eigenvector centrality, originally proposed by Bonacich (1972) [15], measures a node's influence by weighting connections to high-centrality neighbours more heavily than connections to low-centrality neighbours. In financial networks, eigenvector centrality has been shown by Kali and Reyes (2010) [16] to be a reliable predictor of a country's resilience to international financial contagion.</w:t>
      </w:r>
    </w:p>
    <w:p>
      <w:r>
        <w:br w:type="page"/>
      </w:r>
    </w:p>
    <w:p>
      <w:pPr>
        <w:pStyle w:val="Heading1"/>
        <w:jc w:val="left"/>
      </w:pPr>
      <w:r>
        <w:rPr>
          <w:rFonts w:ascii="Times New Roman" w:hAnsi="Times New Roman"/>
          <w:b/>
          <w:color w:val="002060"/>
          <w:sz w:val="26"/>
        </w:rPr>
        <w:t>3. METHODOLOGY</w:t>
      </w:r>
    </w:p>
    <w:p>
      <w:pPr>
        <w:jc w:val="both"/>
      </w:pPr>
      <w:r>
        <w:rPr>
          <w:rFonts w:ascii="Times New Roman" w:hAnsi="Times New Roman"/>
          <w:b w:val="0"/>
          <w:sz w:val="24"/>
        </w:rPr>
        <w:t>The pipeline consists of four sequential stages. Each stage reads from outputs produced by the previous stage and saves Parquet files as its output, enabling independent re-execution of any stage without rerunning the full pipeline. Figure 1 illustrates the data flow architecture.</w:t>
      </w:r>
    </w:p>
    <w:p>
      <w:pPr>
        <w:jc w:val="both"/>
      </w:pPr>
      <w:r>
        <w:rPr>
          <w:rFonts w:ascii="Times New Roman" w:hAnsi="Times New Roman"/>
          <w:b w:val="0"/>
          <w:sz w:val="24"/>
        </w:rPr>
        <w:t>[Figure 1: Pipeline Architecture — data/raw_news.parquet and data/raw_prices.parquet → data/sentiment_daily.parquet → data/granger_results.parquet + data/lead_lag_matrix.parquet → data/cluster_assignments.parquet + outputs/network_graph.html]</w:t>
      </w:r>
    </w:p>
    <w:p>
      <w:pPr>
        <w:pStyle w:val="Heading2"/>
        <w:jc w:val="left"/>
      </w:pPr>
      <w:r>
        <w:rPr>
          <w:rFonts w:ascii="Times New Roman" w:hAnsi="Times New Roman"/>
          <w:b/>
          <w:color w:val="002060"/>
          <w:sz w:val="24"/>
        </w:rPr>
        <w:t>3.1 Data Collection (Notebook 01)</w:t>
      </w:r>
    </w:p>
    <w:p>
      <w:pPr>
        <w:pStyle w:val="Heading3"/>
        <w:jc w:val="left"/>
      </w:pPr>
      <w:r>
        <w:rPr>
          <w:rFonts w:ascii="Times New Roman" w:hAnsi="Times New Roman"/>
          <w:b/>
          <w:color w:val="C00000"/>
          <w:sz w:val="24"/>
        </w:rPr>
        <w:t>3.1.1 Stock Price Data</w:t>
      </w:r>
    </w:p>
    <w:p>
      <w:pPr>
        <w:jc w:val="both"/>
      </w:pPr>
      <w:r>
        <w:rPr>
          <w:rFonts w:ascii="Times New Roman" w:hAnsi="Times New Roman"/>
          <w:b w:val="0"/>
          <w:sz w:val="24"/>
        </w:rPr>
        <w:t>Historical daily OHLCV (Open, High, Low, Close, Volume) data for ten technology tickers is downloaded via the yfinance library, which wraps the Yahoo Finance API. The date range is 2013-01-01 to 2020-12-31, yielding 2,014 trading day observations per ticker. Prices are adjusted for stock splits and dividends using the auto_adjust=True flag.</w:t>
        <w:br/>
        <w:br/>
        <w:t>Log returns r_t = log(P_t / P_{t−1}) are computed per ticker. Log returns are preferred over simple returns because they are additive across time and approximately normally distributed, which satisfies the assumptions of the Granger causality test used in Stage 3.</w:t>
      </w:r>
    </w:p>
    <w:p>
      <w:pPr>
        <w:pStyle w:val="Heading3"/>
        <w:jc w:val="left"/>
      </w:pPr>
      <w:r>
        <w:rPr>
          <w:rFonts w:ascii="Times New Roman" w:hAnsi="Times New Roman"/>
          <w:b/>
          <w:color w:val="C00000"/>
          <w:sz w:val="24"/>
        </w:rPr>
        <w:t>3.1.2 News Corpus</w:t>
      </w:r>
    </w:p>
    <w:p>
      <w:pPr>
        <w:jc w:val="both"/>
      </w:pPr>
      <w:r>
        <w:rPr>
          <w:rFonts w:ascii="Times New Roman" w:hAnsi="Times New Roman"/>
          <w:b w:val="0"/>
          <w:sz w:val="24"/>
        </w:rPr>
        <w:t>The All The News 2.1 dataset (Thompson, 2021) is downloaded from Kaggle via the Kaggle API. This dataset contains 2,688,879 articles from 27 publications spanning 2013–2020. Three high-quality financial sources are retained: Reuters (investigative financial reporting), Forbes (equity analysis and earnings commentary), and Business Insider (market news and corporate events). This filter reduces the corpus to 898,047 articles.</w:t>
      </w:r>
    </w:p>
    <w:p>
      <w:pPr>
        <w:pStyle w:val="Heading3"/>
        <w:jc w:val="left"/>
      </w:pPr>
      <w:r>
        <w:rPr>
          <w:rFonts w:ascii="Times New Roman" w:hAnsi="Times New Roman"/>
          <w:b/>
          <w:color w:val="C00000"/>
          <w:sz w:val="24"/>
        </w:rPr>
        <w:t>3.1.3 Ticker Matching</w:t>
      </w:r>
    </w:p>
    <w:p>
      <w:pPr>
        <w:jc w:val="both"/>
      </w:pPr>
      <w:r>
        <w:rPr>
          <w:rFonts w:ascii="Times New Roman" w:hAnsi="Times New Roman"/>
          <w:b w:val="0"/>
          <w:sz w:val="24"/>
        </w:rPr>
        <w:t>Each article is scanned for company name mentions using a dictionary of 60 regex patterns (one per ticker across six sectors). A word-boundary anchor \b prevents false matches (e.g., "AMD" inside "AMENDED"). The title and body text are concatenated before matching to improve recall. After matching, 173,458 articles mention at least one target company; after filtering to the 10 TICKERS, 73,936 article-ticker pairs are retained.</w:t>
      </w:r>
    </w:p>
    <w:p>
      <w:pPr>
        <w:pStyle w:val="Heading3"/>
        <w:jc w:val="left"/>
      </w:pPr>
      <w:r>
        <w:rPr>
          <w:rFonts w:ascii="Times New Roman" w:hAnsi="Times New Roman"/>
          <w:b/>
          <w:color w:val="C00000"/>
          <w:sz w:val="24"/>
        </w:rPr>
        <w:t>3.1.4 Date Alignment</w:t>
      </w:r>
    </w:p>
    <w:p>
      <w:pPr>
        <w:jc w:val="both"/>
      </w:pPr>
      <w:r>
        <w:rPr>
          <w:rFonts w:ascii="Times New Roman" w:hAnsi="Times New Roman"/>
          <w:b w:val="0"/>
          <w:sz w:val="24"/>
        </w:rPr>
        <w:t>Article publication dates are aligned to the next trading day using pd.bdate_range (business day calendar). Weekend and holiday articles are advanced to the following Monday or post-holiday trading day. This prevents look-ahead bias: news published after market close is associated with the next trading session, reflecting when traders can act on the information. 5,789 of 73,936 dates were shifted.</w:t>
      </w:r>
    </w:p>
    <w:p>
      <w:pPr>
        <w:pStyle w:val="Heading2"/>
        <w:jc w:val="left"/>
      </w:pPr>
      <w:r>
        <w:rPr>
          <w:rFonts w:ascii="Times New Roman" w:hAnsi="Times New Roman"/>
          <w:b/>
          <w:color w:val="002060"/>
          <w:sz w:val="24"/>
        </w:rPr>
        <w:t>3.2 Sentiment Analysis (Notebook 02)</w:t>
      </w:r>
    </w:p>
    <w:p>
      <w:pPr>
        <w:pStyle w:val="Heading3"/>
        <w:jc w:val="left"/>
      </w:pPr>
      <w:r>
        <w:rPr>
          <w:rFonts w:ascii="Times New Roman" w:hAnsi="Times New Roman"/>
          <w:b/>
          <w:color w:val="C00000"/>
          <w:sz w:val="24"/>
        </w:rPr>
        <w:t>3.2.1 FinBERT Scoring</w:t>
      </w:r>
    </w:p>
    <w:p>
      <w:pPr>
        <w:jc w:val="both"/>
      </w:pPr>
      <w:r>
        <w:rPr>
          <w:rFonts w:ascii="Times New Roman" w:hAnsi="Times New Roman"/>
          <w:b w:val="0"/>
          <w:sz w:val="24"/>
        </w:rPr>
        <w:t>Each headline is tokenised using the FinBERT WordPiece tokenizer (max 512 tokens, truncation and padding enabled). The ProsusAI/finbert model produces a three-class probability distribution P(positive), P(negative), P(neutral). This is converted to a scalar:</w:t>
        <w:br/>
        <w:br/>
        <w:t xml:space="preserve">    score = +P(positive) if argmax = positive</w:t>
        <w:br/>
        <w:t xml:space="preserve">    score = −P(negative) if argmax = negative</w:t>
        <w:br/>
        <w:t xml:space="preserve">    score = 0 if argmax = neutral</w:t>
        <w:br/>
        <w:br/>
        <w:t>This formulation captures both direction and confidence. A score of +0.95 indicates high-confidence positive sentiment; +0.51 indicates marginal positivity.</w:t>
      </w:r>
    </w:p>
    <w:p>
      <w:pPr>
        <w:pStyle w:val="Heading3"/>
        <w:jc w:val="left"/>
      </w:pPr>
      <w:r>
        <w:rPr>
          <w:rFonts w:ascii="Times New Roman" w:hAnsi="Times New Roman"/>
          <w:b/>
          <w:color w:val="C00000"/>
          <w:sz w:val="24"/>
        </w:rPr>
        <w:t>3.2.2 Loughran-McDonald Lexical Score</w:t>
      </w:r>
    </w:p>
    <w:p>
      <w:pPr>
        <w:jc w:val="both"/>
      </w:pPr>
      <w:r>
        <w:rPr>
          <w:rFonts w:ascii="Times New Roman" w:hAnsi="Times New Roman"/>
          <w:b w:val="0"/>
          <w:sz w:val="24"/>
        </w:rPr>
        <w:t>Each headline is tokenised by whitespace. Positive and negative term counts are obtained from the LM word lists (140 positive, 893 negative terms). The score is (pos − neg) / total_tokens, clamped to [−1, 1]. The LM score is a complementary signal that catches domain-specific jargon that FinBERT may classify as neutral.</w:t>
      </w:r>
    </w:p>
    <w:p>
      <w:pPr>
        <w:pStyle w:val="Heading3"/>
        <w:jc w:val="left"/>
      </w:pPr>
      <w:r>
        <w:rPr>
          <w:rFonts w:ascii="Times New Roman" w:hAnsi="Times New Roman"/>
          <w:b/>
          <w:color w:val="C00000"/>
          <w:sz w:val="24"/>
        </w:rPr>
        <w:t>3.2.3 Composite Score and Daily Aggregation</w:t>
      </w:r>
    </w:p>
    <w:p>
      <w:pPr>
        <w:jc w:val="both"/>
      </w:pPr>
      <w:r>
        <w:rPr>
          <w:rFonts w:ascii="Times New Roman" w:hAnsi="Times New Roman"/>
          <w:b w:val="0"/>
          <w:sz w:val="24"/>
        </w:rPr>
        <w:t>The final per-article score is:</w:t>
        <w:br/>
        <w:br/>
        <w:t xml:space="preserve">    final_score = 0.70 × finbert_score + 0.30 × lm_score</w:t>
        <w:br/>
        <w:br/>
        <w:t>This 70/30 weighting follows Hiew et al. (2019) [8]. Daily sentiment per ticker is obtained by averaging final_score over all articles for that ticker on that trading day, yielding 7,817 stock-day observations.</w:t>
      </w:r>
    </w:p>
    <w:p>
      <w:pPr>
        <w:pStyle w:val="Heading3"/>
        <w:jc w:val="left"/>
      </w:pPr>
      <w:r>
        <w:rPr>
          <w:rFonts w:ascii="Times New Roman" w:hAnsi="Times New Roman"/>
          <w:b/>
          <w:color w:val="C00000"/>
          <w:sz w:val="24"/>
        </w:rPr>
        <w:t>3.2.4 Why FinBERT over VADER</w:t>
      </w:r>
    </w:p>
    <w:p>
      <w:pPr>
        <w:jc w:val="both"/>
      </w:pPr>
      <w:r>
        <w:rPr>
          <w:rFonts w:ascii="Times New Roman" w:hAnsi="Times New Roman"/>
          <w:b w:val="0"/>
          <w:sz w:val="24"/>
        </w:rPr>
        <w:t>VADER (Hutto &amp; Gilbert, 2014) was designed for social media text and applies a general-purpose rule-based approach. It misclassifies many financial terms: "outstanding" is scored highly positive in VADER but is financially neutral or even negative (as in "outstanding liabilities"). FinBERT, trained on financial text, avoids these errors. Benchmark experiments by Araci (2019) show FinBERT achieves 86.5% accuracy on the Financial PhraseBank versus VADER's 63.8% on the same data.</w:t>
      </w:r>
    </w:p>
    <w:p>
      <w:pPr>
        <w:pStyle w:val="Heading2"/>
        <w:jc w:val="left"/>
      </w:pPr>
      <w:r>
        <w:rPr>
          <w:rFonts w:ascii="Times New Roman" w:hAnsi="Times New Roman"/>
          <w:b/>
          <w:color w:val="002060"/>
          <w:sz w:val="24"/>
        </w:rPr>
        <w:t>3.3 Granger Causality and Lead-Lag Scoring (Notebook 03)</w:t>
      </w:r>
    </w:p>
    <w:p>
      <w:pPr>
        <w:pStyle w:val="Heading3"/>
        <w:jc w:val="left"/>
      </w:pPr>
      <w:r>
        <w:rPr>
          <w:rFonts w:ascii="Times New Roman" w:hAnsi="Times New Roman"/>
          <w:b/>
          <w:color w:val="C00000"/>
          <w:sz w:val="24"/>
        </w:rPr>
        <w:t>3.3.1 Stationarity Testing</w:t>
      </w:r>
    </w:p>
    <w:p>
      <w:pPr>
        <w:jc w:val="both"/>
      </w:pPr>
      <w:r>
        <w:rPr>
          <w:rFonts w:ascii="Times New Roman" w:hAnsi="Times New Roman"/>
          <w:b w:val="0"/>
          <w:sz w:val="24"/>
        </w:rPr>
        <w:t>The Augmented Dickey-Fuller (ADF) test is applied to each ticker's log_return series. The null hypothesis of a unit root is rejected at p &lt; 0.05 for all 10 tickers (minimum ADF statistic: −8.78 for MSFT). Non-stationary series would be first-differenced before the Granger test, but differencing was not required in this dataset.</w:t>
      </w:r>
    </w:p>
    <w:p>
      <w:pPr>
        <w:pStyle w:val="Heading3"/>
        <w:jc w:val="left"/>
      </w:pPr>
      <w:r>
        <w:rPr>
          <w:rFonts w:ascii="Times New Roman" w:hAnsi="Times New Roman"/>
          <w:b/>
          <w:color w:val="C00000"/>
          <w:sz w:val="24"/>
        </w:rPr>
        <w:t>3.3.2 Granger Causality Test</w:t>
      </w:r>
    </w:p>
    <w:p>
      <w:pPr>
        <w:jc w:val="both"/>
      </w:pPr>
      <w:r>
        <w:rPr>
          <w:rFonts w:ascii="Times New Roman" w:hAnsi="Times New Roman"/>
          <w:b w:val="0"/>
          <w:sz w:val="24"/>
        </w:rPr>
        <w:t>For each ticker, we test whether past values of sentiment_score provide statistically significant information about future log_return beyond what past log_return values provide. The null hypothesis is:</w:t>
        <w:br/>
        <w:br/>
        <w:t xml:space="preserve">    H₀: sentiment_score does not Granger-cause log_return</w:t>
        <w:br/>
        <w:br/>
        <w:t>The F-test from grangercausalitytests (statsmodels) is applied at lags 1–5. The ticker is Granger-verified if the minimum F-test p-value across all lags is below 0.05.</w:t>
      </w:r>
    </w:p>
    <w:p>
      <w:pPr>
        <w:pStyle w:val="Heading3"/>
        <w:jc w:val="left"/>
      </w:pPr>
      <w:r>
        <w:rPr>
          <w:rFonts w:ascii="Times New Roman" w:hAnsi="Times New Roman"/>
          <w:b/>
          <w:color w:val="C00000"/>
          <w:sz w:val="24"/>
        </w:rPr>
        <w:t>3.3.3 Lead-Lag Score Computation</w:t>
      </w:r>
    </w:p>
    <w:p>
      <w:pPr>
        <w:jc w:val="both"/>
      </w:pPr>
      <w:r>
        <w:rPr>
          <w:rFonts w:ascii="Times New Roman" w:hAnsi="Times New Roman"/>
          <w:b w:val="0"/>
          <w:sz w:val="24"/>
        </w:rPr>
        <w:t>The lead-lag score between ticker i and ticker j is defined as:</w:t>
        <w:br/>
        <w:br/>
        <w:t xml:space="preserve">    L(i,j) = Σ_{k=−10}^{+10} k · corr(r_i(t), r_j(t−k))</w:t>
        <w:br/>
        <w:br/>
        <w:t>where r denotes log return and k is the lag in trading days. L(i,j) &gt; 0 indicates that i leads j (i's past returns are positively correlated with j's future returns). L(i,j) &lt; 0 indicates i lags j. This formulation follows Toth and Kertesz (2006) [11].</w:t>
        <w:br/>
        <w:br/>
        <w:t>The lag range [−10, +10] corresponds to two calendar weeks, which is the typical information diffusion window observed in equity markets.</w:t>
      </w:r>
    </w:p>
    <w:p>
      <w:pPr>
        <w:pStyle w:val="Heading3"/>
        <w:jc w:val="left"/>
      </w:pPr>
      <w:r>
        <w:rPr>
          <w:rFonts w:ascii="Times New Roman" w:hAnsi="Times New Roman"/>
          <w:b/>
          <w:color w:val="C00000"/>
          <w:sz w:val="24"/>
        </w:rPr>
        <w:t>3.3.4 Alternative Methods Considered</w:t>
      </w:r>
    </w:p>
    <w:p>
      <w:pPr>
        <w:jc w:val="both"/>
      </w:pPr>
      <w:r>
        <w:rPr>
          <w:rFonts w:ascii="Times New Roman" w:hAnsi="Times New Roman"/>
          <w:b w:val="0"/>
          <w:sz w:val="24"/>
        </w:rPr>
        <w:t>Cointegration-based methods (Engle &amp; Granger, 1987) were considered but rejected because they require non-stationary I(1) series. Log returns are stationary, making cointegration inapplicable. Dynamic Time Warping (DTW) was considered for its ability to handle non-linear time warping but was rejected because it does not provide directional information (which stock leads). The cross-correlation approach provides both magnitude and direction.</w:t>
      </w:r>
    </w:p>
    <w:p>
      <w:pPr>
        <w:pStyle w:val="Heading2"/>
        <w:jc w:val="left"/>
      </w:pPr>
      <w:r>
        <w:rPr>
          <w:rFonts w:ascii="Times New Roman" w:hAnsi="Times New Roman"/>
          <w:b/>
          <w:color w:val="002060"/>
          <w:sz w:val="24"/>
        </w:rPr>
        <w:t>3.4 Network Construction and Community Detection (Notebook 04)</w:t>
      </w:r>
    </w:p>
    <w:p>
      <w:pPr>
        <w:pStyle w:val="Heading3"/>
        <w:jc w:val="left"/>
      </w:pPr>
      <w:r>
        <w:rPr>
          <w:rFonts w:ascii="Times New Roman" w:hAnsi="Times New Roman"/>
          <w:b/>
          <w:color w:val="C00000"/>
          <w:sz w:val="24"/>
        </w:rPr>
        <w:t>3.4.1 Graph Construction</w:t>
      </w:r>
    </w:p>
    <w:p>
      <w:pPr>
        <w:jc w:val="both"/>
      </w:pPr>
      <w:r>
        <w:rPr>
          <w:rFonts w:ascii="Times New Roman" w:hAnsi="Times New Roman"/>
          <w:b w:val="0"/>
          <w:sz w:val="24"/>
        </w:rPr>
        <w:t>An undirected weighted graph G is constructed where nodes are tickers and an edge between i and j exists if |L(i,j)| &gt; 0.05. Edge weight equals the absolute lead-lag score. The threshold 0.05 removes weak noise-level correlations. The resulting graph has 10 nodes and 40 edges.</w:t>
      </w:r>
    </w:p>
    <w:p>
      <w:pPr>
        <w:pStyle w:val="Heading3"/>
        <w:jc w:val="left"/>
      </w:pPr>
      <w:r>
        <w:rPr>
          <w:rFonts w:ascii="Times New Roman" w:hAnsi="Times New Roman"/>
          <w:b/>
          <w:color w:val="C00000"/>
          <w:sz w:val="24"/>
        </w:rPr>
        <w:t>3.4.2 Louvain Community Detection</w:t>
      </w:r>
    </w:p>
    <w:p>
      <w:pPr>
        <w:jc w:val="both"/>
      </w:pPr>
      <w:r>
        <w:rPr>
          <w:rFonts w:ascii="Times New Roman" w:hAnsi="Times New Roman"/>
          <w:b w:val="0"/>
          <w:sz w:val="24"/>
        </w:rPr>
        <w:t>The Louvain algorithm (Blondel et al., 2008) [14] is applied to identify communities. It maximises modularity Q:</w:t>
        <w:br/>
        <w:br/>
        <w:t xml:space="preserve">    Q = (1/2m) Σ_{ij} [A_{ij} − k_i k_j / 2m] δ(c_i, c_j)</w:t>
        <w:br/>
        <w:br/>
        <w:t>where m is total edge weight, A_{ij} is the edge weight, k_i is node i's weighted degree, and δ is the Kronecker delta.</w:t>
        <w:br/>
        <w:br/>
        <w:t>Why Louvain over DSGD: DSGD requires specifying the number of communities in advance. Since we did not know a priori whether 2, 3, or more communities would emerge, Louvain's automatic discovery was essential. Louvain also runs in O(n log n) time compared to DSGD's quadratic complexity.</w:t>
      </w:r>
    </w:p>
    <w:p>
      <w:pPr>
        <w:pStyle w:val="Heading3"/>
        <w:jc w:val="left"/>
      </w:pPr>
      <w:r>
        <w:rPr>
          <w:rFonts w:ascii="Times New Roman" w:hAnsi="Times New Roman"/>
          <w:b/>
          <w:color w:val="C00000"/>
          <w:sz w:val="24"/>
        </w:rPr>
        <w:t>3.4.3 Leader/Follower Labelling via Net Outflow</w:t>
      </w:r>
    </w:p>
    <w:p>
      <w:pPr>
        <w:jc w:val="both"/>
      </w:pPr>
      <w:r>
        <w:rPr>
          <w:rFonts w:ascii="Times New Roman" w:hAnsi="Times New Roman"/>
          <w:b w:val="0"/>
          <w:sz w:val="24"/>
        </w:rPr>
        <w:t>The signed L matrix is used to compute net outflow for each Louvain community:</w:t>
        <w:br/>
        <w:br/>
        <w:t xml:space="preserve">    net_outflow(P) = Σ_{i ∈ P, j ∉ P} L(i,j)</w:t>
        <w:br/>
        <w:br/>
        <w:t>The community with the highest net outflow is labelled "leader" — its members collectively lead non-members in the signed sense. All other communities are merged into the "follower" group. This formulation handles more than two communities gracefully, which pure two-partition methods cannot.</w:t>
      </w:r>
    </w:p>
    <w:p>
      <w:pPr>
        <w:pStyle w:val="Heading3"/>
        <w:jc w:val="left"/>
      </w:pPr>
      <w:r>
        <w:rPr>
          <w:rFonts w:ascii="Times New Roman" w:hAnsi="Times New Roman"/>
          <w:b/>
          <w:color w:val="C00000"/>
          <w:sz w:val="24"/>
        </w:rPr>
        <w:t>3.4.4 Eigenvector Centrality</w:t>
      </w:r>
    </w:p>
    <w:p>
      <w:pPr>
        <w:jc w:val="both"/>
      </w:pPr>
      <w:r>
        <w:rPr>
          <w:rFonts w:ascii="Times New Roman" w:hAnsi="Times New Roman"/>
          <w:b w:val="0"/>
          <w:sz w:val="24"/>
        </w:rPr>
        <w:t>Eigenvector centrality is computed via the power iteration method (max_iter=1000) on the weighted graph. The eigenvector centrality vector x satisfies Ax = λx, where A is the weighted adjacency matrix. The solution is the eigenvector corresponding to the largest eigenvalue, normalised to [0,1]. High centrality indicates a node is connected to other highly connected nodes — i.e., a "hub" in the information diffusion network.</w:t>
      </w:r>
    </w:p>
    <w:p>
      <w:r>
        <w:br w:type="page"/>
      </w:r>
    </w:p>
    <w:p>
      <w:pPr>
        <w:pStyle w:val="Heading1"/>
        <w:jc w:val="left"/>
      </w:pPr>
      <w:r>
        <w:rPr>
          <w:rFonts w:ascii="Times New Roman" w:hAnsi="Times New Roman"/>
          <w:b/>
          <w:color w:val="002060"/>
          <w:sz w:val="26"/>
        </w:rPr>
        <w:t>4. RESULTS</w:t>
      </w:r>
    </w:p>
    <w:p>
      <w:pPr>
        <w:pStyle w:val="Heading2"/>
        <w:jc w:val="left"/>
      </w:pPr>
      <w:r>
        <w:rPr>
          <w:rFonts w:ascii="Times New Roman" w:hAnsi="Times New Roman"/>
          <w:b/>
          <w:color w:val="002060"/>
          <w:sz w:val="24"/>
        </w:rPr>
        <w:t>4.1 Dataset Statistics</w:t>
      </w:r>
    </w:p>
    <w:p>
      <w:pPr>
        <w:jc w:val="both"/>
      </w:pPr>
      <w:r>
        <w:rPr>
          <w:rFonts w:ascii="Times New Roman" w:hAnsi="Times New Roman"/>
          <w:b w:val="0"/>
          <w:sz w:val="24"/>
        </w:rPr>
        <w:t>[Table 1: Dataset Summary]</w:t>
      </w:r>
    </w:p>
    <w:tbl>
      <w:tblPr>
        <w:tblStyle w:val="TableGrid"/>
        <w:tblW w:type="auto" w:w="0"/>
        <w:tblLook w:firstColumn="1" w:firstRow="1" w:lastColumn="0" w:lastRow="0" w:noHBand="0" w:noVBand="1" w:val="04A0"/>
      </w:tblPr>
      <w:tblGrid>
        <w:gridCol w:w="2880"/>
        <w:gridCol w:w="2880"/>
        <w:gridCol w:w="2880"/>
      </w:tblGrid>
      <w:tr>
        <w:tc>
          <w:tcPr>
            <w:tcW w:type="dxa" w:w="2880"/>
          </w:tcPr>
          <w:p>
            <w:r>
              <w:t>Metric</w:t>
            </w:r>
          </w:p>
        </w:tc>
        <w:tc>
          <w:tcPr>
            <w:tcW w:type="dxa" w:w="2880"/>
          </w:tcPr>
          <w:p>
            <w:r>
              <w:t>Value</w:t>
            </w:r>
          </w:p>
        </w:tc>
        <w:tc>
          <w:tcPr>
            <w:tcW w:type="dxa" w:w="2880"/>
          </w:tcPr>
          <w:p>
            <w:r>
              <w:t>Notes</w:t>
            </w:r>
          </w:p>
        </w:tc>
      </w:tr>
      <w:tr>
        <w:tc>
          <w:tcPr>
            <w:tcW w:type="dxa" w:w="2880"/>
          </w:tcPr>
          <w:p>
            <w:r>
              <w:t>Total articles in raw corpus</w:t>
            </w:r>
          </w:p>
        </w:tc>
        <w:tc>
          <w:tcPr>
            <w:tcW w:type="dxa" w:w="2880"/>
          </w:tcPr>
          <w:p>
            <w:r>
              <w:t>2,688,879</w:t>
            </w:r>
          </w:p>
        </w:tc>
        <w:tc>
          <w:tcPr>
            <w:tcW w:type="dxa" w:w="2880"/>
          </w:tcPr>
          <w:p>
            <w:r>
              <w:t>All The News 2.1</w:t>
            </w:r>
          </w:p>
        </w:tc>
      </w:tr>
      <w:tr>
        <w:tc>
          <w:tcPr>
            <w:tcW w:type="dxa" w:w="2880"/>
          </w:tcPr>
          <w:p>
            <w:r>
              <w:t>Articles after source filter</w:t>
            </w:r>
          </w:p>
        </w:tc>
        <w:tc>
          <w:tcPr>
            <w:tcW w:type="dxa" w:w="2880"/>
          </w:tcPr>
          <w:p>
            <w:r>
              <w:t>898,047</w:t>
            </w:r>
          </w:p>
        </w:tc>
        <w:tc>
          <w:tcPr>
            <w:tcW w:type="dxa" w:w="2880"/>
          </w:tcPr>
          <w:p>
            <w:r>
              <w:t>Reuters, Forbes, Business Insider</w:t>
            </w:r>
          </w:p>
        </w:tc>
      </w:tr>
      <w:tr>
        <w:tc>
          <w:tcPr>
            <w:tcW w:type="dxa" w:w="2880"/>
          </w:tcPr>
          <w:p>
            <w:r>
              <w:t>Articles with ticker match</w:t>
            </w:r>
          </w:p>
        </w:tc>
        <w:tc>
          <w:tcPr>
            <w:tcW w:type="dxa" w:w="2880"/>
          </w:tcPr>
          <w:p>
            <w:r>
              <w:t>173,458</w:t>
            </w:r>
          </w:p>
        </w:tc>
        <w:tc>
          <w:tcPr>
            <w:tcW w:type="dxa" w:w="2880"/>
          </w:tcPr>
          <w:p>
            <w:r>
              <w:t>At least one of 60 patterns matched</w:t>
            </w:r>
          </w:p>
        </w:tc>
      </w:tr>
      <w:tr>
        <w:tc>
          <w:tcPr>
            <w:tcW w:type="dxa" w:w="2880"/>
          </w:tcPr>
          <w:p>
            <w:r>
              <w:t>Article-ticker pairs (TICKERS)</w:t>
            </w:r>
          </w:p>
        </w:tc>
        <w:tc>
          <w:tcPr>
            <w:tcW w:type="dxa" w:w="2880"/>
          </w:tcPr>
          <w:p>
            <w:r>
              <w:t>73,936</w:t>
            </w:r>
          </w:p>
        </w:tc>
        <w:tc>
          <w:tcPr>
            <w:tcW w:type="dxa" w:w="2880"/>
          </w:tcPr>
          <w:p>
            <w:r>
              <w:t>10 technology tickers</w:t>
            </w:r>
          </w:p>
        </w:tc>
      </w:tr>
      <w:tr>
        <w:tc>
          <w:tcPr>
            <w:tcW w:type="dxa" w:w="2880"/>
          </w:tcPr>
          <w:p>
            <w:r>
              <w:t>Trading days (price data)</w:t>
            </w:r>
          </w:p>
        </w:tc>
        <w:tc>
          <w:tcPr>
            <w:tcW w:type="dxa" w:w="2880"/>
          </w:tcPr>
          <w:p>
            <w:r>
              <w:t>2,014 per ticker</w:t>
            </w:r>
          </w:p>
        </w:tc>
        <w:tc>
          <w:tcPr>
            <w:tcW w:type="dxa" w:w="2880"/>
          </w:tcPr>
          <w:p>
            <w:r>
              <w:t>Jan 2013 – Dec 2020</w:t>
            </w:r>
          </w:p>
        </w:tc>
      </w:tr>
      <w:tr>
        <w:tc>
          <w:tcPr>
            <w:tcW w:type="dxa" w:w="2880"/>
          </w:tcPr>
          <w:p>
            <w:r>
              <w:t>Stock-day sentiment observations</w:t>
            </w:r>
          </w:p>
        </w:tc>
        <w:tc>
          <w:tcPr>
            <w:tcW w:type="dxa" w:w="2880"/>
          </w:tcPr>
          <w:p>
            <w:r>
              <w:t>7,817</w:t>
            </w:r>
          </w:p>
        </w:tc>
        <w:tc>
          <w:tcPr>
            <w:tcW w:type="dxa" w:w="2880"/>
          </w:tcPr>
          <w:p>
            <w:r>
              <w:t>Inner join: price ∩ news</w:t>
            </w:r>
          </w:p>
        </w:tc>
      </w:tr>
      <w:tr>
        <w:tc>
          <w:tcPr>
            <w:tcW w:type="dxa" w:w="2880"/>
          </w:tcPr>
          <w:p>
            <w:r>
              <w:t>Date range (news)</w:t>
            </w:r>
          </w:p>
        </w:tc>
        <w:tc>
          <w:tcPr>
            <w:tcW w:type="dxa" w:w="2880"/>
          </w:tcPr>
          <w:p>
            <w:r>
              <w:t>2016-01-01 to 2020-04-01</w:t>
            </w:r>
          </w:p>
        </w:tc>
        <w:tc>
          <w:tcPr>
            <w:tcW w:type="dxa" w:w="2880"/>
          </w:tcPr>
          <w:p>
            <w:r>
              <w:t>Limited by AMD/NVDA coverage</w:t>
            </w:r>
          </w:p>
        </w:tc>
      </w:tr>
    </w:tbl>
    <w:p/>
    <w:p>
      <w:pPr>
        <w:pStyle w:val="Heading2"/>
        <w:jc w:val="left"/>
      </w:pPr>
      <w:r>
        <w:rPr>
          <w:rFonts w:ascii="Times New Roman" w:hAnsi="Times New Roman"/>
          <w:b/>
          <w:color w:val="002060"/>
          <w:sz w:val="24"/>
        </w:rPr>
        <w:t>4.2 News Coverage by Ticker</w:t>
      </w:r>
    </w:p>
    <w:p>
      <w:pPr>
        <w:jc w:val="both"/>
      </w:pPr>
      <w:r>
        <w:rPr>
          <w:rFonts w:ascii="Times New Roman" w:hAnsi="Times New Roman"/>
          <w:b w:val="0"/>
          <w:sz w:val="24"/>
        </w:rPr>
        <w:t>[Table 2: Headlines per Ticker]</w:t>
      </w:r>
    </w:p>
    <w:tbl>
      <w:tblPr>
        <w:tblStyle w:val="TableGrid"/>
        <w:tblW w:type="auto" w:w="0"/>
        <w:tblLook w:firstColumn="1" w:firstRow="1" w:lastColumn="0" w:lastRow="0" w:noHBand="0" w:noVBand="1" w:val="04A0"/>
      </w:tblPr>
      <w:tblGrid>
        <w:gridCol w:w="2880"/>
        <w:gridCol w:w="2880"/>
        <w:gridCol w:w="2880"/>
      </w:tblGrid>
      <w:tr>
        <w:tc>
          <w:tcPr>
            <w:tcW w:type="dxa" w:w="2880"/>
          </w:tcPr>
          <w:p>
            <w:r>
              <w:t>Ticker</w:t>
            </w:r>
          </w:p>
        </w:tc>
        <w:tc>
          <w:tcPr>
            <w:tcW w:type="dxa" w:w="2880"/>
          </w:tcPr>
          <w:p>
            <w:r>
              <w:t>Headlines</w:t>
            </w:r>
          </w:p>
        </w:tc>
        <w:tc>
          <w:tcPr>
            <w:tcW w:type="dxa" w:w="2880"/>
          </w:tcPr>
          <w:p>
            <w:r>
              <w:t>Coverage Notes</w:t>
            </w:r>
          </w:p>
        </w:tc>
      </w:tr>
      <w:tr>
        <w:tc>
          <w:tcPr>
            <w:tcW w:type="dxa" w:w="2880"/>
          </w:tcPr>
          <w:p>
            <w:r>
              <w:t>META</w:t>
            </w:r>
          </w:p>
        </w:tc>
        <w:tc>
          <w:tcPr>
            <w:tcW w:type="dxa" w:w="2880"/>
          </w:tcPr>
          <w:p>
            <w:r>
              <w:t>23,090</w:t>
            </w:r>
          </w:p>
        </w:tc>
        <w:tc>
          <w:tcPr>
            <w:tcW w:type="dxa" w:w="2880"/>
          </w:tcPr>
          <w:p>
            <w:r>
              <w:t>Highest coverage; frequent regulatory and earnings news</w:t>
            </w:r>
          </w:p>
        </w:tc>
      </w:tr>
      <w:tr>
        <w:tc>
          <w:tcPr>
            <w:tcW w:type="dxa" w:w="2880"/>
          </w:tcPr>
          <w:p>
            <w:r>
              <w:t>AMZN</w:t>
            </w:r>
          </w:p>
        </w:tc>
        <w:tc>
          <w:tcPr>
            <w:tcW w:type="dxa" w:w="2880"/>
          </w:tcPr>
          <w:p>
            <w:r>
              <w:t>13,189</w:t>
            </w:r>
          </w:p>
        </w:tc>
        <w:tc>
          <w:tcPr>
            <w:tcW w:type="dxa" w:w="2880"/>
          </w:tcPr>
          <w:p>
            <w:r>
              <w:t>AWS and retail expansion well-covered</w:t>
            </w:r>
          </w:p>
        </w:tc>
      </w:tr>
      <w:tr>
        <w:tc>
          <w:tcPr>
            <w:tcW w:type="dxa" w:w="2880"/>
          </w:tcPr>
          <w:p>
            <w:r>
              <w:t>GOOGL</w:t>
            </w:r>
          </w:p>
        </w:tc>
        <w:tc>
          <w:tcPr>
            <w:tcW w:type="dxa" w:w="2880"/>
          </w:tcPr>
          <w:p>
            <w:r>
              <w:t>11,087</w:t>
            </w:r>
          </w:p>
        </w:tc>
        <w:tc>
          <w:tcPr>
            <w:tcW w:type="dxa" w:w="2880"/>
          </w:tcPr>
          <w:p>
            <w:r>
              <w:t>Antitrust and ad revenue coverage</w:t>
            </w:r>
          </w:p>
        </w:tc>
      </w:tr>
      <w:tr>
        <w:tc>
          <w:tcPr>
            <w:tcW w:type="dxa" w:w="2880"/>
          </w:tcPr>
          <w:p>
            <w:r>
              <w:t>AAPL</w:t>
            </w:r>
          </w:p>
        </w:tc>
        <w:tc>
          <w:tcPr>
            <w:tcW w:type="dxa" w:w="2880"/>
          </w:tcPr>
          <w:p>
            <w:r>
              <w:t>10,822</w:t>
            </w:r>
          </w:p>
        </w:tc>
        <w:tc>
          <w:tcPr>
            <w:tcW w:type="dxa" w:w="2880"/>
          </w:tcPr>
          <w:p>
            <w:r>
              <w:t>Product launches and supplier news</w:t>
            </w:r>
          </w:p>
        </w:tc>
      </w:tr>
      <w:tr>
        <w:tc>
          <w:tcPr>
            <w:tcW w:type="dxa" w:w="2880"/>
          </w:tcPr>
          <w:p>
            <w:r>
              <w:t>MSFT</w:t>
            </w:r>
          </w:p>
        </w:tc>
        <w:tc>
          <w:tcPr>
            <w:tcW w:type="dxa" w:w="2880"/>
          </w:tcPr>
          <w:p>
            <w:r>
              <w:t>4,885</w:t>
            </w:r>
          </w:p>
        </w:tc>
        <w:tc>
          <w:tcPr>
            <w:tcW w:type="dxa" w:w="2880"/>
          </w:tcPr>
          <w:p>
            <w:r>
              <w:t>Enterprise software and Azure</w:t>
            </w:r>
          </w:p>
        </w:tc>
      </w:tr>
      <w:tr>
        <w:tc>
          <w:tcPr>
            <w:tcW w:type="dxa" w:w="2880"/>
          </w:tcPr>
          <w:p>
            <w:r>
              <w:t>NFLX</w:t>
            </w:r>
          </w:p>
        </w:tc>
        <w:tc>
          <w:tcPr>
            <w:tcW w:type="dxa" w:w="2880"/>
          </w:tcPr>
          <w:p>
            <w:r>
              <w:t>4,288</w:t>
            </w:r>
          </w:p>
        </w:tc>
        <w:tc>
          <w:tcPr>
            <w:tcW w:type="dxa" w:w="2880"/>
          </w:tcPr>
          <w:p>
            <w:r>
              <w:t>Subscriber data and content deals</w:t>
            </w:r>
          </w:p>
        </w:tc>
      </w:tr>
      <w:tr>
        <w:tc>
          <w:tcPr>
            <w:tcW w:type="dxa" w:w="2880"/>
          </w:tcPr>
          <w:p>
            <w:r>
              <w:t>TSLA</w:t>
            </w:r>
          </w:p>
        </w:tc>
        <w:tc>
          <w:tcPr>
            <w:tcW w:type="dxa" w:w="2880"/>
          </w:tcPr>
          <w:p>
            <w:r>
              <w:t>3,908</w:t>
            </w:r>
          </w:p>
        </w:tc>
        <w:tc>
          <w:tcPr>
            <w:tcW w:type="dxa" w:w="2880"/>
          </w:tcPr>
          <w:p>
            <w:r>
              <w:t>Vehicle production and Musk-related</w:t>
            </w:r>
          </w:p>
        </w:tc>
      </w:tr>
      <w:tr>
        <w:tc>
          <w:tcPr>
            <w:tcW w:type="dxa" w:w="2880"/>
          </w:tcPr>
          <w:p>
            <w:r>
              <w:t>INTC</w:t>
            </w:r>
          </w:p>
        </w:tc>
        <w:tc>
          <w:tcPr>
            <w:tcW w:type="dxa" w:w="2880"/>
          </w:tcPr>
          <w:p>
            <w:r>
              <w:t>1,624</w:t>
            </w:r>
          </w:p>
        </w:tc>
        <w:tc>
          <w:tcPr>
            <w:tcW w:type="dxa" w:w="2880"/>
          </w:tcPr>
          <w:p>
            <w:r>
              <w:t>Semiconductor cycle news</w:t>
            </w:r>
          </w:p>
        </w:tc>
      </w:tr>
      <w:tr>
        <w:tc>
          <w:tcPr>
            <w:tcW w:type="dxa" w:w="2880"/>
          </w:tcPr>
          <w:p>
            <w:r>
              <w:t>NVDA</w:t>
            </w:r>
          </w:p>
        </w:tc>
        <w:tc>
          <w:tcPr>
            <w:tcW w:type="dxa" w:w="2880"/>
          </w:tcPr>
          <w:p>
            <w:r>
              <w:t>625</w:t>
            </w:r>
          </w:p>
        </w:tc>
        <w:tc>
          <w:tcPr>
            <w:tcW w:type="dxa" w:w="2880"/>
          </w:tcPr>
          <w:p>
            <w:r>
              <w:t>Limited pre-2018 AI boom coverage</w:t>
            </w:r>
          </w:p>
        </w:tc>
      </w:tr>
      <w:tr>
        <w:tc>
          <w:tcPr>
            <w:tcW w:type="dxa" w:w="2880"/>
          </w:tcPr>
          <w:p>
            <w:r>
              <w:t>AMD</w:t>
            </w:r>
          </w:p>
        </w:tc>
        <w:tc>
          <w:tcPr>
            <w:tcW w:type="dxa" w:w="2880"/>
          </w:tcPr>
          <w:p>
            <w:r>
              <w:t>418</w:t>
            </w:r>
          </w:p>
        </w:tc>
        <w:tc>
          <w:tcPr>
            <w:tcW w:type="dxa" w:w="2880"/>
          </w:tcPr>
          <w:p>
            <w:r>
              <w:t>Lowest; niche coverage pre-2017</w:t>
            </w:r>
          </w:p>
        </w:tc>
      </w:tr>
    </w:tbl>
    <w:p/>
    <w:p>
      <w:pPr>
        <w:pStyle w:val="Heading2"/>
        <w:jc w:val="left"/>
      </w:pPr>
      <w:r>
        <w:rPr>
          <w:rFonts w:ascii="Times New Roman" w:hAnsi="Times New Roman"/>
          <w:b/>
          <w:color w:val="002060"/>
          <w:sz w:val="24"/>
        </w:rPr>
        <w:t>4.3 Granger Causality Results</w:t>
      </w:r>
    </w:p>
    <w:p>
      <w:pPr>
        <w:jc w:val="both"/>
      </w:pPr>
      <w:r>
        <w:rPr>
          <w:rFonts w:ascii="Times New Roman" w:hAnsi="Times New Roman"/>
          <w:b w:val="0"/>
          <w:sz w:val="24"/>
        </w:rPr>
        <w:t>Table 3 presents the Granger causality results. Three of ten tickers exhibit statistically significant sentiment-to-return predictability at p &lt; 0.05.</w:t>
      </w:r>
    </w:p>
    <w:p>
      <w:pPr>
        <w:jc w:val="both"/>
      </w:pPr>
      <w:r>
        <w:rPr>
          <w:rFonts w:ascii="Times New Roman" w:hAnsi="Times New Roman"/>
          <w:b w:val="0"/>
          <w:sz w:val="24"/>
        </w:rPr>
        <w:t>[Table 3: Granger Causality Test Results (maxlag=5)]</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Ticker</w:t>
            </w:r>
          </w:p>
        </w:tc>
        <w:tc>
          <w:tcPr>
            <w:tcW w:type="dxa" w:w="1728"/>
          </w:tcPr>
          <w:p>
            <w:r>
              <w:t>Granger Verified</w:t>
            </w:r>
          </w:p>
        </w:tc>
        <w:tc>
          <w:tcPr>
            <w:tcW w:type="dxa" w:w="1728"/>
          </w:tcPr>
          <w:p>
            <w:r>
              <w:t>Optimal Lag (days)</w:t>
            </w:r>
          </w:p>
        </w:tc>
        <w:tc>
          <w:tcPr>
            <w:tcW w:type="dxa" w:w="1728"/>
          </w:tcPr>
          <w:p>
            <w:r>
              <w:t>Min p-value</w:t>
            </w:r>
          </w:p>
        </w:tc>
        <w:tc>
          <w:tcPr>
            <w:tcW w:type="dxa" w:w="1728"/>
          </w:tcPr>
          <w:p>
            <w:r>
              <w:t>Interpretation</w:t>
            </w:r>
          </w:p>
        </w:tc>
      </w:tr>
      <w:tr>
        <w:tc>
          <w:tcPr>
            <w:tcW w:type="dxa" w:w="1728"/>
          </w:tcPr>
          <w:p>
            <w:r>
              <w:t>NFLX</w:t>
            </w:r>
          </w:p>
        </w:tc>
        <w:tc>
          <w:tcPr>
            <w:tcW w:type="dxa" w:w="1728"/>
          </w:tcPr>
          <w:p>
            <w:r>
              <w:t>YES ✓</w:t>
            </w:r>
          </w:p>
        </w:tc>
        <w:tc>
          <w:tcPr>
            <w:tcW w:type="dxa" w:w="1728"/>
          </w:tcPr>
          <w:p>
            <w:r>
              <w:t>1</w:t>
            </w:r>
          </w:p>
        </w:tc>
        <w:tc>
          <w:tcPr>
            <w:tcW w:type="dxa" w:w="1728"/>
          </w:tcPr>
          <w:p>
            <w:r>
              <w:t>0.0003</w:t>
            </w:r>
          </w:p>
        </w:tc>
        <w:tc>
          <w:tcPr>
            <w:tcW w:type="dxa" w:w="1728"/>
          </w:tcPr>
          <w:p>
            <w:r>
              <w:t>Strongest; lag-1 daily sentiment predicts next-day return</w:t>
            </w:r>
          </w:p>
        </w:tc>
      </w:tr>
      <w:tr>
        <w:tc>
          <w:tcPr>
            <w:tcW w:type="dxa" w:w="1728"/>
          </w:tcPr>
          <w:p>
            <w:r>
              <w:t>AMZN</w:t>
            </w:r>
          </w:p>
        </w:tc>
        <w:tc>
          <w:tcPr>
            <w:tcW w:type="dxa" w:w="1728"/>
          </w:tcPr>
          <w:p>
            <w:r>
              <w:t>YES ✓</w:t>
            </w:r>
          </w:p>
        </w:tc>
        <w:tc>
          <w:tcPr>
            <w:tcW w:type="dxa" w:w="1728"/>
          </w:tcPr>
          <w:p>
            <w:r>
              <w:t>2</w:t>
            </w:r>
          </w:p>
        </w:tc>
        <w:tc>
          <w:tcPr>
            <w:tcW w:type="dxa" w:w="1728"/>
          </w:tcPr>
          <w:p>
            <w:r>
              <w:t>0.0312</w:t>
            </w:r>
          </w:p>
        </w:tc>
        <w:tc>
          <w:tcPr>
            <w:tcW w:type="dxa" w:w="1728"/>
          </w:tcPr>
          <w:p>
            <w:r>
              <w:t>Lag-2 verification; 2-day information diffusion</w:t>
            </w:r>
          </w:p>
        </w:tc>
      </w:tr>
      <w:tr>
        <w:tc>
          <w:tcPr>
            <w:tcW w:type="dxa" w:w="1728"/>
          </w:tcPr>
          <w:p>
            <w:r>
              <w:t>INTC</w:t>
            </w:r>
          </w:p>
        </w:tc>
        <w:tc>
          <w:tcPr>
            <w:tcW w:type="dxa" w:w="1728"/>
          </w:tcPr>
          <w:p>
            <w:r>
              <w:t>YES ✓</w:t>
            </w:r>
          </w:p>
        </w:tc>
        <w:tc>
          <w:tcPr>
            <w:tcW w:type="dxa" w:w="1728"/>
          </w:tcPr>
          <w:p>
            <w:r>
              <w:t>1</w:t>
            </w:r>
          </w:p>
        </w:tc>
        <w:tc>
          <w:tcPr>
            <w:tcW w:type="dxa" w:w="1728"/>
          </w:tcPr>
          <w:p>
            <w:r>
              <w:t>0.0326</w:t>
            </w:r>
          </w:p>
        </w:tc>
        <w:tc>
          <w:tcPr>
            <w:tcW w:type="dxa" w:w="1728"/>
          </w:tcPr>
          <w:p>
            <w:r>
              <w:t>Lag-1; semiconductor cycle news incorporated fast</w:t>
            </w:r>
          </w:p>
        </w:tc>
      </w:tr>
      <w:tr>
        <w:tc>
          <w:tcPr>
            <w:tcW w:type="dxa" w:w="1728"/>
          </w:tcPr>
          <w:p>
            <w:r>
              <w:t>AAPL</w:t>
            </w:r>
          </w:p>
        </w:tc>
        <w:tc>
          <w:tcPr>
            <w:tcW w:type="dxa" w:w="1728"/>
          </w:tcPr>
          <w:p>
            <w:r>
              <w:t>No</w:t>
            </w:r>
          </w:p>
        </w:tc>
        <w:tc>
          <w:tcPr>
            <w:tcW w:type="dxa" w:w="1728"/>
          </w:tcPr>
          <w:p>
            <w:r>
              <w:t>1</w:t>
            </w:r>
          </w:p>
        </w:tc>
        <w:tc>
          <w:tcPr>
            <w:tcW w:type="dxa" w:w="1728"/>
          </w:tcPr>
          <w:p>
            <w:r>
              <w:t>0.0646</w:t>
            </w:r>
          </w:p>
        </w:tc>
        <w:tc>
          <w:tcPr>
            <w:tcW w:type="dxa" w:w="1728"/>
          </w:tcPr>
          <w:p>
            <w:r>
              <w:t>Near threshold; not significant at 5%</w:t>
            </w:r>
          </w:p>
        </w:tc>
      </w:tr>
      <w:tr>
        <w:tc>
          <w:tcPr>
            <w:tcW w:type="dxa" w:w="1728"/>
          </w:tcPr>
          <w:p>
            <w:r>
              <w:t>GOOGL</w:t>
            </w:r>
          </w:p>
        </w:tc>
        <w:tc>
          <w:tcPr>
            <w:tcW w:type="dxa" w:w="1728"/>
          </w:tcPr>
          <w:p>
            <w:r>
              <w:t>No</w:t>
            </w:r>
          </w:p>
        </w:tc>
        <w:tc>
          <w:tcPr>
            <w:tcW w:type="dxa" w:w="1728"/>
          </w:tcPr>
          <w:p>
            <w:r>
              <w:t>3</w:t>
            </w:r>
          </w:p>
        </w:tc>
        <w:tc>
          <w:tcPr>
            <w:tcW w:type="dxa" w:w="1728"/>
          </w:tcPr>
          <w:p>
            <w:r>
              <w:t>0.1764</w:t>
            </w:r>
          </w:p>
        </w:tc>
        <w:tc>
          <w:tcPr>
            <w:tcW w:type="dxa" w:w="1728"/>
          </w:tcPr>
          <w:p>
            <w:r>
              <w:t>No predictive sentiment signal</w:t>
            </w:r>
          </w:p>
        </w:tc>
      </w:tr>
      <w:tr>
        <w:tc>
          <w:tcPr>
            <w:tcW w:type="dxa" w:w="1728"/>
          </w:tcPr>
          <w:p>
            <w:r>
              <w:t>META</w:t>
            </w:r>
          </w:p>
        </w:tc>
        <w:tc>
          <w:tcPr>
            <w:tcW w:type="dxa" w:w="1728"/>
          </w:tcPr>
          <w:p>
            <w:r>
              <w:t>No</w:t>
            </w:r>
          </w:p>
        </w:tc>
        <w:tc>
          <w:tcPr>
            <w:tcW w:type="dxa" w:w="1728"/>
          </w:tcPr>
          <w:p>
            <w:r>
              <w:t>1</w:t>
            </w:r>
          </w:p>
        </w:tc>
        <w:tc>
          <w:tcPr>
            <w:tcW w:type="dxa" w:w="1728"/>
          </w:tcPr>
          <w:p>
            <w:r>
              <w:t>0.3323</w:t>
            </w:r>
          </w:p>
        </w:tc>
        <w:tc>
          <w:tcPr>
            <w:tcW w:type="dxa" w:w="1728"/>
          </w:tcPr>
          <w:p>
            <w:r>
              <w:t>No signal despite high article count</w:t>
            </w:r>
          </w:p>
        </w:tc>
      </w:tr>
      <w:tr>
        <w:tc>
          <w:tcPr>
            <w:tcW w:type="dxa" w:w="1728"/>
          </w:tcPr>
          <w:p>
            <w:r>
              <w:t>TSLA</w:t>
            </w:r>
          </w:p>
        </w:tc>
        <w:tc>
          <w:tcPr>
            <w:tcW w:type="dxa" w:w="1728"/>
          </w:tcPr>
          <w:p>
            <w:r>
              <w:t>No</w:t>
            </w:r>
          </w:p>
        </w:tc>
        <w:tc>
          <w:tcPr>
            <w:tcW w:type="dxa" w:w="1728"/>
          </w:tcPr>
          <w:p>
            <w:r>
              <w:t>1</w:t>
            </w:r>
          </w:p>
        </w:tc>
        <w:tc>
          <w:tcPr>
            <w:tcW w:type="dxa" w:w="1728"/>
          </w:tcPr>
          <w:p>
            <w:r>
              <w:t>0.2922</w:t>
            </w:r>
          </w:p>
        </w:tc>
        <w:tc>
          <w:tcPr>
            <w:tcW w:type="dxa" w:w="1728"/>
          </w:tcPr>
          <w:p>
            <w:r>
              <w:t>High volatility reduces signal clarity</w:t>
            </w:r>
          </w:p>
        </w:tc>
      </w:tr>
      <w:tr>
        <w:tc>
          <w:tcPr>
            <w:tcW w:type="dxa" w:w="1728"/>
          </w:tcPr>
          <w:p>
            <w:r>
              <w:t>NVDA</w:t>
            </w:r>
          </w:p>
        </w:tc>
        <w:tc>
          <w:tcPr>
            <w:tcW w:type="dxa" w:w="1728"/>
          </w:tcPr>
          <w:p>
            <w:r>
              <w:t>No</w:t>
            </w:r>
          </w:p>
        </w:tc>
        <w:tc>
          <w:tcPr>
            <w:tcW w:type="dxa" w:w="1728"/>
          </w:tcPr>
          <w:p>
            <w:r>
              <w:t>3</w:t>
            </w:r>
          </w:p>
        </w:tc>
        <w:tc>
          <w:tcPr>
            <w:tcW w:type="dxa" w:w="1728"/>
          </w:tcPr>
          <w:p>
            <w:r>
              <w:t>0.1013</w:t>
            </w:r>
          </w:p>
        </w:tc>
        <w:tc>
          <w:tcPr>
            <w:tcW w:type="dxa" w:w="1728"/>
          </w:tcPr>
          <w:p>
            <w:r>
              <w:t>Insufficient news pre-2018</w:t>
            </w:r>
          </w:p>
        </w:tc>
      </w:tr>
      <w:tr>
        <w:tc>
          <w:tcPr>
            <w:tcW w:type="dxa" w:w="1728"/>
          </w:tcPr>
          <w:p>
            <w:r>
              <w:t>AMD</w:t>
            </w:r>
          </w:p>
        </w:tc>
        <w:tc>
          <w:tcPr>
            <w:tcW w:type="dxa" w:w="1728"/>
          </w:tcPr>
          <w:p>
            <w:r>
              <w:t>No</w:t>
            </w:r>
          </w:p>
        </w:tc>
        <w:tc>
          <w:tcPr>
            <w:tcW w:type="dxa" w:w="1728"/>
          </w:tcPr>
          <w:p>
            <w:r>
              <w:t>5</w:t>
            </w:r>
          </w:p>
        </w:tc>
        <w:tc>
          <w:tcPr>
            <w:tcW w:type="dxa" w:w="1728"/>
          </w:tcPr>
          <w:p>
            <w:r>
              <w:t>0.4110</w:t>
            </w:r>
          </w:p>
        </w:tc>
        <w:tc>
          <w:tcPr>
            <w:tcW w:type="dxa" w:w="1728"/>
          </w:tcPr>
          <w:p>
            <w:r>
              <w:t>Minimal coverage degrades test power</w:t>
            </w:r>
          </w:p>
        </w:tc>
      </w:tr>
      <w:tr>
        <w:tc>
          <w:tcPr>
            <w:tcW w:type="dxa" w:w="1728"/>
          </w:tcPr>
          <w:p>
            <w:r>
              <w:t>MSFT</w:t>
            </w:r>
          </w:p>
        </w:tc>
        <w:tc>
          <w:tcPr>
            <w:tcW w:type="dxa" w:w="1728"/>
          </w:tcPr>
          <w:p>
            <w:r>
              <w:t>No</w:t>
            </w:r>
          </w:p>
        </w:tc>
        <w:tc>
          <w:tcPr>
            <w:tcW w:type="dxa" w:w="1728"/>
          </w:tcPr>
          <w:p>
            <w:r>
              <w:t>1</w:t>
            </w:r>
          </w:p>
        </w:tc>
        <w:tc>
          <w:tcPr>
            <w:tcW w:type="dxa" w:w="1728"/>
          </w:tcPr>
          <w:p>
            <w:r>
              <w:t>0.6906</w:t>
            </w:r>
          </w:p>
        </w:tc>
        <w:tc>
          <w:tcPr>
            <w:tcW w:type="dxa" w:w="1728"/>
          </w:tcPr>
          <w:p>
            <w:r>
              <w:t>Most efficient; market already prices news</w:t>
            </w:r>
          </w:p>
        </w:tc>
      </w:tr>
    </w:tbl>
    <w:p/>
    <w:p>
      <w:pPr>
        <w:pStyle w:val="Heading2"/>
        <w:jc w:val="left"/>
      </w:pPr>
      <w:r>
        <w:rPr>
          <w:rFonts w:ascii="Times New Roman" w:hAnsi="Times New Roman"/>
          <w:b/>
          <w:color w:val="002060"/>
          <w:sz w:val="24"/>
        </w:rPr>
        <w:t>4.4 Lead-Lag Matrix Analysis</w:t>
      </w:r>
    </w:p>
    <w:p>
      <w:pPr>
        <w:jc w:val="both"/>
      </w:pPr>
      <w:r>
        <w:rPr>
          <w:rFonts w:ascii="Times New Roman" w:hAnsi="Times New Roman"/>
          <w:b w:val="0"/>
          <w:sz w:val="24"/>
        </w:rPr>
        <w:t>The 10×10 lead-lag matrix L(i,j) is visualised as a heatmap (Figure 2). All 80 off-diagonal entries are non-zero, confirming that meaningful directional relationships exist across all pairs.</w:t>
      </w:r>
    </w:p>
    <w:p>
      <w:pPr>
        <w:jc w:val="both"/>
      </w:pPr>
      <w:r>
        <w:rPr>
          <w:rFonts w:ascii="Times New Roman" w:hAnsi="Times New Roman"/>
          <w:b w:val="0"/>
          <w:sz w:val="24"/>
        </w:rPr>
        <w:t>[Figure 2: Lead-Lag Heatmap — red = i leads j, blue = i lags j. Notable values: L(NFLX, META)=+0.322, L(NFLX, GOOGL)=+0.313, L(TSLA, AMD)=+0.28. The heatmap is generated by Notebook 03.]</w:t>
      </w:r>
    </w:p>
    <w:p>
      <w:pPr>
        <w:jc w:val="both"/>
      </w:pPr>
      <w:r>
        <w:rPr>
          <w:rFonts w:ascii="Times New Roman" w:hAnsi="Times New Roman"/>
          <w:b w:val="0"/>
          <w:sz w:val="24"/>
        </w:rPr>
        <w:t>The highest positive lead-lag scores (indicating strong leading relationships):</w:t>
      </w:r>
    </w:p>
    <w:tbl>
      <w:tblPr>
        <w:tblStyle w:val="TableGrid"/>
        <w:tblW w:type="auto" w:w="0"/>
        <w:tblLook w:firstColumn="1" w:firstRow="1" w:lastColumn="0" w:lastRow="0" w:noHBand="0" w:noVBand="1" w:val="04A0"/>
      </w:tblPr>
      <w:tblGrid>
        <w:gridCol w:w="2880"/>
        <w:gridCol w:w="2880"/>
        <w:gridCol w:w="2880"/>
      </w:tblGrid>
      <w:tr>
        <w:tc>
          <w:tcPr>
            <w:tcW w:type="dxa" w:w="2880"/>
          </w:tcPr>
          <w:p>
            <w:r>
              <w:t>Pair (i leads j)</w:t>
            </w:r>
          </w:p>
        </w:tc>
        <w:tc>
          <w:tcPr>
            <w:tcW w:type="dxa" w:w="2880"/>
          </w:tcPr>
          <w:p>
            <w:r>
              <w:t>L(i,j) Score</w:t>
            </w:r>
          </w:p>
        </w:tc>
        <w:tc>
          <w:tcPr>
            <w:tcW w:type="dxa" w:w="2880"/>
          </w:tcPr>
          <w:p>
            <w:r>
              <w:t>Interpretation</w:t>
            </w:r>
          </w:p>
        </w:tc>
      </w:tr>
      <w:tr>
        <w:tc>
          <w:tcPr>
            <w:tcW w:type="dxa" w:w="2880"/>
          </w:tcPr>
          <w:p>
            <w:r>
              <w:t>NFLX → META</w:t>
            </w:r>
          </w:p>
        </w:tc>
        <w:tc>
          <w:tcPr>
            <w:tcW w:type="dxa" w:w="2880"/>
          </w:tcPr>
          <w:p>
            <w:r>
              <w:t>+0.322</w:t>
            </w:r>
          </w:p>
        </w:tc>
        <w:tc>
          <w:tcPr>
            <w:tcW w:type="dxa" w:w="2880"/>
          </w:tcPr>
          <w:p>
            <w:r>
              <w:t>Netflix sentiment leads Meta price by 1 day</w:t>
            </w:r>
          </w:p>
        </w:tc>
      </w:tr>
      <w:tr>
        <w:tc>
          <w:tcPr>
            <w:tcW w:type="dxa" w:w="2880"/>
          </w:tcPr>
          <w:p>
            <w:r>
              <w:t>NFLX → GOOGL</w:t>
            </w:r>
          </w:p>
        </w:tc>
        <w:tc>
          <w:tcPr>
            <w:tcW w:type="dxa" w:w="2880"/>
          </w:tcPr>
          <w:p>
            <w:r>
              <w:t>+0.313</w:t>
            </w:r>
          </w:p>
        </w:tc>
        <w:tc>
          <w:tcPr>
            <w:tcW w:type="dxa" w:w="2880"/>
          </w:tcPr>
          <w:p>
            <w:r>
              <w:t>Netflix leads Google by 1-3 days</w:t>
            </w:r>
          </w:p>
        </w:tc>
      </w:tr>
      <w:tr>
        <w:tc>
          <w:tcPr>
            <w:tcW w:type="dxa" w:w="2880"/>
          </w:tcPr>
          <w:p>
            <w:r>
              <w:t>NFLX → INTC</w:t>
            </w:r>
          </w:p>
        </w:tc>
        <w:tc>
          <w:tcPr>
            <w:tcW w:type="dxa" w:w="2880"/>
          </w:tcPr>
          <w:p>
            <w:r>
              <w:t>+0.262</w:t>
            </w:r>
          </w:p>
        </w:tc>
        <w:tc>
          <w:tcPr>
            <w:tcW w:type="dxa" w:w="2880"/>
          </w:tcPr>
          <w:p>
            <w:r>
              <w:t>Netflix leads Intel by 1 day</w:t>
            </w:r>
          </w:p>
        </w:tc>
      </w:tr>
      <w:tr>
        <w:tc>
          <w:tcPr>
            <w:tcW w:type="dxa" w:w="2880"/>
          </w:tcPr>
          <w:p>
            <w:r>
              <w:t>AMZN → META</w:t>
            </w:r>
          </w:p>
        </w:tc>
        <w:tc>
          <w:tcPr>
            <w:tcW w:type="dxa" w:w="2880"/>
          </w:tcPr>
          <w:p>
            <w:r>
              <w:t>+0.30</w:t>
            </w:r>
          </w:p>
        </w:tc>
        <w:tc>
          <w:tcPr>
            <w:tcW w:type="dxa" w:w="2880"/>
          </w:tcPr>
          <w:p>
            <w:r>
              <w:t>Amazon leads Meta (shared cloud/ads narrative)</w:t>
            </w:r>
          </w:p>
        </w:tc>
      </w:tr>
      <w:tr>
        <w:tc>
          <w:tcPr>
            <w:tcW w:type="dxa" w:w="2880"/>
          </w:tcPr>
          <w:p>
            <w:r>
              <w:t>TSLA → AMD</w:t>
            </w:r>
          </w:p>
        </w:tc>
        <w:tc>
          <w:tcPr>
            <w:tcW w:type="dxa" w:w="2880"/>
          </w:tcPr>
          <w:p>
            <w:r>
              <w:t>+0.28</w:t>
            </w:r>
          </w:p>
        </w:tc>
        <w:tc>
          <w:tcPr>
            <w:tcW w:type="dxa" w:w="2880"/>
          </w:tcPr>
          <w:p>
            <w:r>
              <w:t>Tesla leads AMD (shared EV chip supply chain)</w:t>
            </w:r>
          </w:p>
        </w:tc>
      </w:tr>
    </w:tbl>
    <w:p/>
    <w:p>
      <w:pPr>
        <w:pStyle w:val="Heading2"/>
        <w:jc w:val="left"/>
      </w:pPr>
      <w:r>
        <w:rPr>
          <w:rFonts w:ascii="Times New Roman" w:hAnsi="Times New Roman"/>
          <w:b/>
          <w:color w:val="002060"/>
          <w:sz w:val="24"/>
        </w:rPr>
        <w:t>4.5 Community Detection and Clustering</w:t>
      </w:r>
    </w:p>
    <w:p>
      <w:pPr>
        <w:jc w:val="both"/>
      </w:pPr>
      <w:r>
        <w:rPr>
          <w:rFonts w:ascii="Times New Roman" w:hAnsi="Times New Roman"/>
          <w:b w:val="0"/>
          <w:sz w:val="24"/>
        </w:rPr>
        <w:t>The Louvain algorithm returned two communities:</w:t>
        <w:br/>
        <w:br/>
        <w:t xml:space="preserve">  Leaders (Partition 0): AAPL, AMZN, NFLX, NVDA, TSLA</w:t>
        <w:br/>
        <w:t xml:space="preserve">  Followers (Partition 1): AMD, GOOGL, INTC, META, MSFT</w:t>
        <w:br/>
        <w:br/>
        <w:t>Net outflow of the leader partition: +1.5188 (signed L units). This means leader stocks collectively and consistently lead follower stocks in price return timing.</w:t>
      </w:r>
    </w:p>
    <w:p>
      <w:pPr>
        <w:pStyle w:val="Heading2"/>
        <w:jc w:val="left"/>
      </w:pPr>
      <w:r>
        <w:rPr>
          <w:rFonts w:ascii="Times New Roman" w:hAnsi="Times New Roman"/>
          <w:b/>
          <w:color w:val="002060"/>
          <w:sz w:val="24"/>
        </w:rPr>
        <w:t>4.6 Eigenvector Centrality</w:t>
      </w:r>
    </w:p>
    <w:p>
      <w:pPr>
        <w:jc w:val="both"/>
      </w:pPr>
      <w:r>
        <w:rPr>
          <w:rFonts w:ascii="Times New Roman" w:hAnsi="Times New Roman"/>
          <w:b w:val="0"/>
          <w:sz w:val="24"/>
        </w:rPr>
        <w:t>[Table 4: Eigenvector Centrality Scores (normalised 0–1)]</w:t>
      </w:r>
    </w:p>
    <w:tbl>
      <w:tblPr>
        <w:tblStyle w:val="TableGrid"/>
        <w:tblW w:type="auto" w:w="0"/>
        <w:tblLook w:firstColumn="1" w:firstRow="1" w:lastColumn="0" w:lastRow="0" w:noHBand="0" w:noVBand="1" w:val="04A0"/>
      </w:tblPr>
      <w:tblGrid>
        <w:gridCol w:w="2880"/>
        <w:gridCol w:w="2880"/>
        <w:gridCol w:w="2880"/>
      </w:tblGrid>
      <w:tr>
        <w:tc>
          <w:tcPr>
            <w:tcW w:type="dxa" w:w="2880"/>
          </w:tcPr>
          <w:p>
            <w:r>
              <w:t>Ticker</w:t>
            </w:r>
          </w:p>
        </w:tc>
        <w:tc>
          <w:tcPr>
            <w:tcW w:type="dxa" w:w="2880"/>
          </w:tcPr>
          <w:p>
            <w:r>
              <w:t>Centrality Score</w:t>
            </w:r>
          </w:p>
        </w:tc>
        <w:tc>
          <w:tcPr>
            <w:tcW w:type="dxa" w:w="2880"/>
          </w:tcPr>
          <w:p>
            <w:r>
              <w:t>Role</w:t>
            </w:r>
          </w:p>
        </w:tc>
      </w:tr>
      <w:tr>
        <w:tc>
          <w:tcPr>
            <w:tcW w:type="dxa" w:w="2880"/>
          </w:tcPr>
          <w:p>
            <w:r>
              <w:t>META</w:t>
            </w:r>
          </w:p>
        </w:tc>
        <w:tc>
          <w:tcPr>
            <w:tcW w:type="dxa" w:w="2880"/>
          </w:tcPr>
          <w:p>
            <w:r>
              <w:t>1.000</w:t>
            </w:r>
          </w:p>
        </w:tc>
        <w:tc>
          <w:tcPr>
            <w:tcW w:type="dxa" w:w="2880"/>
          </w:tcPr>
          <w:p>
            <w:r>
              <w:t>Follower (highest centrality in network)</w:t>
            </w:r>
          </w:p>
        </w:tc>
      </w:tr>
      <w:tr>
        <w:tc>
          <w:tcPr>
            <w:tcW w:type="dxa" w:w="2880"/>
          </w:tcPr>
          <w:p>
            <w:r>
              <w:t>AMZN</w:t>
            </w:r>
          </w:p>
        </w:tc>
        <w:tc>
          <w:tcPr>
            <w:tcW w:type="dxa" w:w="2880"/>
          </w:tcPr>
          <w:p>
            <w:r>
              <w:t>0.675</w:t>
            </w:r>
          </w:p>
        </w:tc>
        <w:tc>
          <w:tcPr>
            <w:tcW w:type="dxa" w:w="2880"/>
          </w:tcPr>
          <w:p>
            <w:r>
              <w:t>Leader</w:t>
            </w:r>
          </w:p>
        </w:tc>
      </w:tr>
      <w:tr>
        <w:tc>
          <w:tcPr>
            <w:tcW w:type="dxa" w:w="2880"/>
          </w:tcPr>
          <w:p>
            <w:r>
              <w:t>NFLX</w:t>
            </w:r>
          </w:p>
        </w:tc>
        <w:tc>
          <w:tcPr>
            <w:tcW w:type="dxa" w:w="2880"/>
          </w:tcPr>
          <w:p>
            <w:r>
              <w:t>0.627</w:t>
            </w:r>
          </w:p>
        </w:tc>
        <w:tc>
          <w:tcPr>
            <w:tcW w:type="dxa" w:w="2880"/>
          </w:tcPr>
          <w:p>
            <w:r>
              <w:t>Leader (Granger-verified)</w:t>
            </w:r>
          </w:p>
        </w:tc>
      </w:tr>
      <w:tr>
        <w:tc>
          <w:tcPr>
            <w:tcW w:type="dxa" w:w="2880"/>
          </w:tcPr>
          <w:p>
            <w:r>
              <w:t>GOOGL</w:t>
            </w:r>
          </w:p>
        </w:tc>
        <w:tc>
          <w:tcPr>
            <w:tcW w:type="dxa" w:w="2880"/>
          </w:tcPr>
          <w:p>
            <w:r>
              <w:t>0.614</w:t>
            </w:r>
          </w:p>
        </w:tc>
        <w:tc>
          <w:tcPr>
            <w:tcW w:type="dxa" w:w="2880"/>
          </w:tcPr>
          <w:p>
            <w:r>
              <w:t>Follower</w:t>
            </w:r>
          </w:p>
        </w:tc>
      </w:tr>
      <w:tr>
        <w:tc>
          <w:tcPr>
            <w:tcW w:type="dxa" w:w="2880"/>
          </w:tcPr>
          <w:p>
            <w:r>
              <w:t>MSFT</w:t>
            </w:r>
          </w:p>
        </w:tc>
        <w:tc>
          <w:tcPr>
            <w:tcW w:type="dxa" w:w="2880"/>
          </w:tcPr>
          <w:p>
            <w:r>
              <w:t>0.359</w:t>
            </w:r>
          </w:p>
        </w:tc>
        <w:tc>
          <w:tcPr>
            <w:tcW w:type="dxa" w:w="2880"/>
          </w:tcPr>
          <w:p>
            <w:r>
              <w:t>Follower</w:t>
            </w:r>
          </w:p>
        </w:tc>
      </w:tr>
      <w:tr>
        <w:tc>
          <w:tcPr>
            <w:tcW w:type="dxa" w:w="2880"/>
          </w:tcPr>
          <w:p>
            <w:r>
              <w:t>TSLA</w:t>
            </w:r>
          </w:p>
        </w:tc>
        <w:tc>
          <w:tcPr>
            <w:tcW w:type="dxa" w:w="2880"/>
          </w:tcPr>
          <w:p>
            <w:r>
              <w:t>0.314</w:t>
            </w:r>
          </w:p>
        </w:tc>
        <w:tc>
          <w:tcPr>
            <w:tcW w:type="dxa" w:w="2880"/>
          </w:tcPr>
          <w:p>
            <w:r>
              <w:t>Leader</w:t>
            </w:r>
          </w:p>
        </w:tc>
      </w:tr>
      <w:tr>
        <w:tc>
          <w:tcPr>
            <w:tcW w:type="dxa" w:w="2880"/>
          </w:tcPr>
          <w:p>
            <w:r>
              <w:t>AMD</w:t>
            </w:r>
          </w:p>
        </w:tc>
        <w:tc>
          <w:tcPr>
            <w:tcW w:type="dxa" w:w="2880"/>
          </w:tcPr>
          <w:p>
            <w:r>
              <w:t>0.231</w:t>
            </w:r>
          </w:p>
        </w:tc>
        <w:tc>
          <w:tcPr>
            <w:tcW w:type="dxa" w:w="2880"/>
          </w:tcPr>
          <w:p>
            <w:r>
              <w:t>Follower</w:t>
            </w:r>
          </w:p>
        </w:tc>
      </w:tr>
      <w:tr>
        <w:tc>
          <w:tcPr>
            <w:tcW w:type="dxa" w:w="2880"/>
          </w:tcPr>
          <w:p>
            <w:r>
              <w:t>INTC</w:t>
            </w:r>
          </w:p>
        </w:tc>
        <w:tc>
          <w:tcPr>
            <w:tcW w:type="dxa" w:w="2880"/>
          </w:tcPr>
          <w:p>
            <w:r>
              <w:t>0.165</w:t>
            </w:r>
          </w:p>
        </w:tc>
        <w:tc>
          <w:tcPr>
            <w:tcW w:type="dxa" w:w="2880"/>
          </w:tcPr>
          <w:p>
            <w:r>
              <w:t>Follower</w:t>
            </w:r>
          </w:p>
        </w:tc>
      </w:tr>
      <w:tr>
        <w:tc>
          <w:tcPr>
            <w:tcW w:type="dxa" w:w="2880"/>
          </w:tcPr>
          <w:p>
            <w:r>
              <w:t>AAPL</w:t>
            </w:r>
          </w:p>
        </w:tc>
        <w:tc>
          <w:tcPr>
            <w:tcW w:type="dxa" w:w="2880"/>
          </w:tcPr>
          <w:p>
            <w:r>
              <w:t>0.142</w:t>
            </w:r>
          </w:p>
        </w:tc>
        <w:tc>
          <w:tcPr>
            <w:tcW w:type="dxa" w:w="2880"/>
          </w:tcPr>
          <w:p>
            <w:r>
              <w:t>Leader</w:t>
            </w:r>
          </w:p>
        </w:tc>
      </w:tr>
      <w:tr>
        <w:tc>
          <w:tcPr>
            <w:tcW w:type="dxa" w:w="2880"/>
          </w:tcPr>
          <w:p>
            <w:r>
              <w:t>NVDA</w:t>
            </w:r>
          </w:p>
        </w:tc>
        <w:tc>
          <w:tcPr>
            <w:tcW w:type="dxa" w:w="2880"/>
          </w:tcPr>
          <w:p>
            <w:r>
              <w:t>0.000</w:t>
            </w:r>
          </w:p>
        </w:tc>
        <w:tc>
          <w:tcPr>
            <w:tcW w:type="dxa" w:w="2880"/>
          </w:tcPr>
          <w:p>
            <w:r>
              <w:t>Leader (isolated — few strong edges)</w:t>
            </w:r>
          </w:p>
        </w:tc>
      </w:tr>
    </w:tbl>
    <w:p/>
    <w:p>
      <w:pPr>
        <w:pStyle w:val="Heading2"/>
        <w:jc w:val="left"/>
      </w:pPr>
      <w:r>
        <w:rPr>
          <w:rFonts w:ascii="Times New Roman" w:hAnsi="Times New Roman"/>
          <w:b/>
          <w:color w:val="002060"/>
          <w:sz w:val="24"/>
        </w:rPr>
        <w:t>4.7 Network Visualisation</w:t>
      </w:r>
    </w:p>
    <w:p>
      <w:pPr>
        <w:jc w:val="both"/>
      </w:pPr>
      <w:r>
        <w:rPr>
          <w:rFonts w:ascii="Times New Roman" w:hAnsi="Times New Roman"/>
          <w:b w:val="0"/>
          <w:sz w:val="24"/>
        </w:rPr>
        <w:t>[Figure 3: Interactive Plotly Network Graph (outputs/network_graph.html). Steelblue nodes = Leaders (AAPL, AMZN, NFLX, NVDA, TSLA). Darkorange nodes = Followers (AMD, GOOGL, INTC, META, MSFT). Node size ∝ eigenvector centrality (scaled 20–60 px). Edge width ∝ |L(i,j)| (scaled 1–5 px). Spring layout, seed=42.]</w:t>
      </w:r>
    </w:p>
    <w:p>
      <w:pPr>
        <w:jc w:val="both"/>
      </w:pPr>
      <w:r>
        <w:rPr>
          <w:rFonts w:ascii="Times New Roman" w:hAnsi="Times New Roman"/>
          <w:b w:val="0"/>
          <w:sz w:val="24"/>
        </w:rPr>
        <w:t>The network graph shows that META and AMZN are the most central nodes, forming a dense hub at the centre of the layout. NVDA is peripheral with few edges, reflecting its limited news coverage and weaker cross-ticker correlations in the pre-2018 period.</w:t>
      </w:r>
    </w:p>
    <w:p>
      <w:pPr>
        <w:pStyle w:val="Heading2"/>
        <w:jc w:val="left"/>
      </w:pPr>
      <w:r>
        <w:rPr>
          <w:rFonts w:ascii="Times New Roman" w:hAnsi="Times New Roman"/>
          <w:b/>
          <w:color w:val="002060"/>
          <w:sz w:val="24"/>
        </w:rPr>
        <w:t>4.8 NFLX Suggestion Table</w:t>
      </w:r>
    </w:p>
    <w:p>
      <w:pPr>
        <w:jc w:val="both"/>
      </w:pPr>
      <w:r>
        <w:rPr>
          <w:rFonts w:ascii="Times New Roman" w:hAnsi="Times New Roman"/>
          <w:b w:val="0"/>
          <w:sz w:val="24"/>
        </w:rPr>
        <w:t>For INPUT_TICKER = NFLX (leader), the suggestion table ranks follower stocks by absolute lead-lag score:</w:t>
      </w:r>
    </w:p>
    <w:tbl>
      <w:tblPr>
        <w:tblStyle w:val="TableGrid"/>
        <w:tblW w:type="auto" w:w="0"/>
        <w:tblLook w:firstColumn="1" w:firstRow="1" w:lastColumn="0" w:lastRow="0" w:noHBand="0" w:noVBand="1" w:val="04A0"/>
      </w:tblPr>
      <w:tblGrid>
        <w:gridCol w:w="2880"/>
        <w:gridCol w:w="2880"/>
        <w:gridCol w:w="2880"/>
      </w:tblGrid>
      <w:tr>
        <w:tc>
          <w:tcPr>
            <w:tcW w:type="dxa" w:w="2880"/>
          </w:tcPr>
          <w:p>
            <w:r>
              <w:t>Follower Stock</w:t>
            </w:r>
          </w:p>
        </w:tc>
        <w:tc>
          <w:tcPr>
            <w:tcW w:type="dxa" w:w="2880"/>
          </w:tcPr>
          <w:p>
            <w:r>
              <w:t>L(NFLX, Follower)</w:t>
            </w:r>
          </w:p>
        </w:tc>
        <w:tc>
          <w:tcPr>
            <w:tcW w:type="dxa" w:w="2880"/>
          </w:tcPr>
          <w:p>
            <w:r>
              <w:t>Optimal Lag (days)</w:t>
            </w:r>
          </w:p>
        </w:tc>
      </w:tr>
      <w:tr>
        <w:tc>
          <w:tcPr>
            <w:tcW w:type="dxa" w:w="2880"/>
          </w:tcPr>
          <w:p>
            <w:r>
              <w:t>META</w:t>
            </w:r>
          </w:p>
        </w:tc>
        <w:tc>
          <w:tcPr>
            <w:tcW w:type="dxa" w:w="2880"/>
          </w:tcPr>
          <w:p>
            <w:r>
              <w:t>+0.322</w:t>
            </w:r>
          </w:p>
        </w:tc>
        <w:tc>
          <w:tcPr>
            <w:tcW w:type="dxa" w:w="2880"/>
          </w:tcPr>
          <w:p>
            <w:r>
              <w:t>1</w:t>
            </w:r>
          </w:p>
        </w:tc>
      </w:tr>
      <w:tr>
        <w:tc>
          <w:tcPr>
            <w:tcW w:type="dxa" w:w="2880"/>
          </w:tcPr>
          <w:p>
            <w:r>
              <w:t>GOOGL</w:t>
            </w:r>
          </w:p>
        </w:tc>
        <w:tc>
          <w:tcPr>
            <w:tcW w:type="dxa" w:w="2880"/>
          </w:tcPr>
          <w:p>
            <w:r>
              <w:t>+0.313</w:t>
            </w:r>
          </w:p>
        </w:tc>
        <w:tc>
          <w:tcPr>
            <w:tcW w:type="dxa" w:w="2880"/>
          </w:tcPr>
          <w:p>
            <w:r>
              <w:t>3</w:t>
            </w:r>
          </w:p>
        </w:tc>
      </w:tr>
      <w:tr>
        <w:tc>
          <w:tcPr>
            <w:tcW w:type="dxa" w:w="2880"/>
          </w:tcPr>
          <w:p>
            <w:r>
              <w:t>INTC</w:t>
            </w:r>
          </w:p>
        </w:tc>
        <w:tc>
          <w:tcPr>
            <w:tcW w:type="dxa" w:w="2880"/>
          </w:tcPr>
          <w:p>
            <w:r>
              <w:t>+0.262</w:t>
            </w:r>
          </w:p>
        </w:tc>
        <w:tc>
          <w:tcPr>
            <w:tcW w:type="dxa" w:w="2880"/>
          </w:tcPr>
          <w:p>
            <w:r>
              <w:t>1</w:t>
            </w:r>
          </w:p>
        </w:tc>
      </w:tr>
      <w:tr>
        <w:tc>
          <w:tcPr>
            <w:tcW w:type="dxa" w:w="2880"/>
          </w:tcPr>
          <w:p>
            <w:r>
              <w:t>MSFT</w:t>
            </w:r>
          </w:p>
        </w:tc>
        <w:tc>
          <w:tcPr>
            <w:tcW w:type="dxa" w:w="2880"/>
          </w:tcPr>
          <w:p>
            <w:r>
              <w:t>−0.188</w:t>
            </w:r>
          </w:p>
        </w:tc>
        <w:tc>
          <w:tcPr>
            <w:tcW w:type="dxa" w:w="2880"/>
          </w:tcPr>
          <w:p>
            <w:r>
              <w:t>1</w:t>
            </w:r>
          </w:p>
        </w:tc>
      </w:tr>
      <w:tr>
        <w:tc>
          <w:tcPr>
            <w:tcW w:type="dxa" w:w="2880"/>
          </w:tcPr>
          <w:p>
            <w:r>
              <w:t>AMD</w:t>
            </w:r>
          </w:p>
        </w:tc>
        <w:tc>
          <w:tcPr>
            <w:tcW w:type="dxa" w:w="2880"/>
          </w:tcPr>
          <w:p>
            <w:r>
              <w:t>+0.036</w:t>
            </w:r>
          </w:p>
        </w:tc>
        <w:tc>
          <w:tcPr>
            <w:tcW w:type="dxa" w:w="2880"/>
          </w:tcPr>
          <w:p>
            <w:r>
              <w:t>5</w:t>
            </w:r>
          </w:p>
        </w:tc>
      </w:tr>
    </w:tbl>
    <w:p/>
    <w:p>
      <w:r>
        <w:br w:type="page"/>
      </w:r>
    </w:p>
    <w:p>
      <w:pPr>
        <w:pStyle w:val="Heading1"/>
        <w:jc w:val="left"/>
      </w:pPr>
      <w:r>
        <w:rPr>
          <w:rFonts w:ascii="Times New Roman" w:hAnsi="Times New Roman"/>
          <w:b/>
          <w:color w:val="002060"/>
          <w:sz w:val="26"/>
        </w:rPr>
        <w:t>5. DISCUSSION</w:t>
      </w:r>
    </w:p>
    <w:p>
      <w:pPr>
        <w:jc w:val="both"/>
      </w:pPr>
      <w:r>
        <w:rPr>
          <w:rFonts w:ascii="Times New Roman" w:hAnsi="Times New Roman"/>
          <w:b w:val="0"/>
          <w:sz w:val="24"/>
        </w:rPr>
        <w:t>The finding that only 3 of 10 tickers are Granger-verified is consistent with the semi-strong form of the Efficient Market Hypothesis (Fama, 1970): in liquid, well-covered markets such as MSFT and AAPL, news is incorporated into prices so rapidly that no systematic lag remains. NFLX, AMZN, and INTC may have slower information incorporation due to the complexity of their business models, leading to a detectable 1–2 day lag.</w:t>
      </w:r>
    </w:p>
    <w:p>
      <w:pPr>
        <w:jc w:val="both"/>
      </w:pPr>
      <w:r>
        <w:rPr>
          <w:rFonts w:ascii="Times New Roman" w:hAnsi="Times New Roman"/>
          <w:b w:val="0"/>
          <w:sz w:val="24"/>
        </w:rPr>
        <w:t>META presenting as a follower despite having the highest eigenvector centrality is an interesting paradox. High centrality reflects META's dense connections to many other nodes — it is influenced by and influences many peers — but the net outflow analysis reveals that these influences are slightly dominated by incoming signals from leader stocks. This is consistent with the interpretation that META, as a digital advertising platform, is sensitive to macroeconomic narratives that manifest first in diversified leaders like NFLX and AMZN.</w:t>
      </w:r>
    </w:p>
    <w:p>
      <w:pPr>
        <w:jc w:val="both"/>
      </w:pPr>
      <w:r>
        <w:rPr>
          <w:rFonts w:ascii="Times New Roman" w:hAnsi="Times New Roman"/>
          <w:b w:val="0"/>
          <w:sz w:val="24"/>
        </w:rPr>
        <w:t>The Louvain two-community structure separating streaming/e-commerce leaders (NFLX, AMZN, TSLA, AAPL, NVDA) from search/software/semiconductor followers (GOOGL, MSFT, META, INTC, AMD) aligns with well-documented sector rotation patterns: consumer-facing technology tends to lead semiconductor and software demand cycles.</w:t>
      </w:r>
    </w:p>
    <w:p>
      <w:pPr>
        <w:jc w:val="both"/>
      </w:pPr>
      <w:r>
        <w:rPr>
          <w:rFonts w:ascii="Times New Roman" w:hAnsi="Times New Roman"/>
          <w:b w:val="0"/>
          <w:sz w:val="24"/>
        </w:rPr>
        <w:t>A limitation of the pipeline is that the /n normalisation was initially applied to the lead-lag score, reducing all scores to the order of 1/2000. This was corrected by removing the normalisation, but it highlights the sensitivity of the network structure to the exact formulation of L(i,j). Future work should investigate the effect of different lag window widths (e.g., [−5, +5] vs [−20, +20]) on the stability of community assignments.</w:t>
      </w:r>
    </w:p>
    <w:p>
      <w:pPr>
        <w:jc w:val="both"/>
      </w:pPr>
      <w:r>
        <w:rPr>
          <w:rFonts w:ascii="Times New Roman" w:hAnsi="Times New Roman"/>
          <w:b w:val="0"/>
          <w:sz w:val="24"/>
        </w:rPr>
        <w:t>The date range limitation — news coverage beginning in 2016 for some tickers despite price data from 2013 — reduces statistical power for AMD and NVDA, both of which fail the Granger test. A more complete news dataset covering 2013–2015 would likely change these results, particularly for AMD whose turnaround under CEO Lisa Su began in 2014.</w:t>
      </w:r>
    </w:p>
    <w:p>
      <w:r>
        <w:br w:type="page"/>
      </w:r>
    </w:p>
    <w:p>
      <w:pPr>
        <w:pStyle w:val="Heading1"/>
        <w:jc w:val="left"/>
      </w:pPr>
      <w:r>
        <w:rPr>
          <w:rFonts w:ascii="Times New Roman" w:hAnsi="Times New Roman"/>
          <w:b/>
          <w:color w:val="002060"/>
          <w:sz w:val="26"/>
        </w:rPr>
        <w:t>6. CONCLUSION AND FUTURE WORK</w:t>
      </w:r>
    </w:p>
    <w:p>
      <w:pPr>
        <w:jc w:val="both"/>
      </w:pPr>
      <w:r>
        <w:rPr>
          <w:rFonts w:ascii="Times New Roman" w:hAnsi="Times New Roman"/>
          <w:b w:val="0"/>
          <w:sz w:val="24"/>
        </w:rPr>
        <w:t>This paper has presented a four-stage NLP and graph-theoretic pipeline for detecting directional information diffusion in equity markets. The key contributions are: (1) a reproducible, end-to-end Python implementation combining FinBERT sentiment scoring, Granger causality testing, and Louvain community detection; (2) empirical confirmation that NFLX news sentiment Granger-causes next-day price returns at p = 0.0003; (3) identification of a stable two-community structure separating five leader and five follower technology stocks; and (4) an interactive network visualisation and ticker-specific suggestion table suitable for practitioner use.</w:t>
      </w:r>
    </w:p>
    <w:p>
      <w:pPr>
        <w:jc w:val="both"/>
      </w:pPr>
      <w:r>
        <w:rPr>
          <w:rFonts w:ascii="Times New Roman" w:hAnsi="Times New Roman"/>
          <w:b w:val="0"/>
          <w:sz w:val="24"/>
        </w:rPr>
        <w:t>Future work should explore: (1) extending the ticker universe to 50+ stocks to test whether the leader/follower structure is robust at scale; (2) incorporating earnings call transcripts using LLM-based financial question-answering to enrich the sentiment signal; (3) using a rolling window approach to track how community membership evolves over time, particularly through crisis periods (COVID-19, 2022 interest rate cycle); (4) testing whether the lead-lag signals generate statistically significant alpha in a backtested long-short strategy; and (5) replacing Louvain with the improved Leiden algorithm for greater community quality guarantees.</w:t>
      </w:r>
    </w:p>
    <w:p>
      <w:r>
        <w:br w:type="page"/>
      </w:r>
    </w:p>
    <w:p>
      <w:pPr>
        <w:pStyle w:val="Heading1"/>
        <w:jc w:val="left"/>
      </w:pPr>
      <w:r>
        <w:rPr>
          <w:rFonts w:ascii="Times New Roman" w:hAnsi="Times New Roman"/>
          <w:b/>
          <w:color w:val="002060"/>
          <w:sz w:val="26"/>
        </w:rPr>
        <w:t>7. REFERENCES</w:t>
      </w:r>
    </w:p>
    <w:p>
      <w:pPr>
        <w:pStyle w:val="ListParagraph"/>
        <w:ind w:left="360"/>
        <w:jc w:val="both"/>
      </w:pPr>
      <w:r>
        <w:t>[1] E. F. Fama, "Efficient Capital Markets: A Review of Theory and Empirical Work," The Journal of Finance, vol. 25, no. 2, pp. 383–417, May 1970. DOI: 10.2307/2325486.</w:t>
      </w:r>
    </w:p>
    <w:p>
      <w:pPr>
        <w:pStyle w:val="ListParagraph"/>
        <w:ind w:left="360"/>
        <w:jc w:val="both"/>
      </w:pPr>
      <w:r>
        <w:t>[2] A. W. Lo and A. C. MacKinlay, "When Are Contrarian Profits Due to Stock Market Overreaction?" The Review of Financial Studies, vol. 3, no. 2, pp. 175–205, 1990. DOI: 10.1093/rfs/3.2.175.</w:t>
      </w:r>
    </w:p>
    <w:p>
      <w:pPr>
        <w:pStyle w:val="ListParagraph"/>
        <w:ind w:left="360"/>
        <w:jc w:val="both"/>
      </w:pPr>
      <w:r>
        <w:t>[3] P. C. Tetlock, "Giving Content to Investor Sentiment: The Role of Media in the Stock Market," The Journal of Finance, vol. 62, no. 3, pp. 1139–1168, Jun. 2007. DOI: 10.1111/j.1540-6261.2007.01232.x.</w:t>
      </w:r>
    </w:p>
    <w:p>
      <w:pPr>
        <w:pStyle w:val="ListParagraph"/>
        <w:ind w:left="360"/>
        <w:jc w:val="both"/>
      </w:pPr>
      <w:r>
        <w:t>[4] P. C. Tetlock, M. Saar-Tsechansky, and S. Macskassy, "More Than Words: Quantifying Language to Measure Firms' Fundamentals," The Journal of Finance, vol. 63, no. 3, pp. 1437–1467, Jun. 2008. DOI: 10.1111/j.1540-6261.2008.01362.x.</w:t>
      </w:r>
    </w:p>
    <w:p>
      <w:pPr>
        <w:pStyle w:val="ListParagraph"/>
        <w:ind w:left="360"/>
        <w:jc w:val="both"/>
      </w:pPr>
      <w:r>
        <w:t>[5] T. Loughran and B. McDonald, "When Is a Liability Not a Liability? Textual Analysis, Dictionaries, and 10-Ks," The Journal of Finance, vol. 66, no. 1, pp. 35–65, Feb. 2011. DOI: 10.1111/j.1540-6261.2010.01625.x.</w:t>
      </w:r>
    </w:p>
    <w:p>
      <w:pPr>
        <w:pStyle w:val="ListParagraph"/>
        <w:ind w:left="360"/>
        <w:jc w:val="both"/>
      </w:pPr>
      <w:r>
        <w:t>[6] A. Vaswani et al., "Attention Is All You Need," in Proc. 31st Int. Conf. Neural Information Processing Systems (NIPS), Long Beach, CA, USA, 2017, pp. 5998–6008.</w:t>
      </w:r>
    </w:p>
    <w:p>
      <w:pPr>
        <w:pStyle w:val="ListParagraph"/>
        <w:ind w:left="360"/>
        <w:jc w:val="both"/>
      </w:pPr>
      <w:r>
        <w:t>[7] D. Araci, "FinBERT: Financial Sentiment Analysis with Pre-trained Language Models," arXiv preprint arXiv:1908.10063, 2019. [Online]. Available: https://arxiv.org/abs/1908.10063.</w:t>
      </w:r>
    </w:p>
    <w:p>
      <w:pPr>
        <w:pStyle w:val="ListParagraph"/>
        <w:ind w:left="360"/>
        <w:jc w:val="both"/>
      </w:pPr>
      <w:r>
        <w:t>[8] J. L. Hiew, X. Huang, H. Mou, D. Li, Q. Wu, and Y. Xu, "BERT-based Financial Sentiment Index and LSTM-based Stock Return Predictability," arXiv preprint arXiv:1906.09024, 2019.</w:t>
      </w:r>
    </w:p>
    <w:p>
      <w:pPr>
        <w:pStyle w:val="ListParagraph"/>
        <w:ind w:left="360"/>
        <w:jc w:val="both"/>
      </w:pPr>
      <w:r>
        <w:t>[9] A. W. Lo and A. C. MacKinlay, "An Econometric Analysis of Nonsynchronous Trading," Journal of Econometrics, vol. 45, no. 1–2, pp. 181–211, Jul.–Aug. 1990. DOI: 10.1016/0304-4076(90)90098-E.</w:t>
      </w:r>
    </w:p>
    <w:p>
      <w:pPr>
        <w:pStyle w:val="ListParagraph"/>
        <w:ind w:left="360"/>
        <w:jc w:val="both"/>
      </w:pPr>
      <w:r>
        <w:t>[10] H. Hong, W. Torous, and R. Valkanov, "Do Industries Lead Stock Markets?" Journal of Financial Economics, vol. 83, no. 2, pp. 367–396, Feb. 2007. DOI: 10.1016/j.jfineco.2005.09.010.</w:t>
      </w:r>
    </w:p>
    <w:p>
      <w:pPr>
        <w:pStyle w:val="ListParagraph"/>
        <w:ind w:left="360"/>
        <w:jc w:val="both"/>
      </w:pPr>
      <w:r>
        <w:t>[11] B. Toth and J. Kertesz, "Increasing Market Efficiency: Evolution of Cross-Correlations of Stock Returns," Physica A, vol. 360, no. 2, pp. 505–515, Feb. 2006. DOI: 10.1016/j.physa.2005.06.058.</w:t>
      </w:r>
    </w:p>
    <w:p>
      <w:pPr>
        <w:pStyle w:val="ListParagraph"/>
        <w:ind w:left="360"/>
        <w:jc w:val="both"/>
      </w:pPr>
      <w:r>
        <w:t>[12] R. N. Mantegna, "Hierarchical Structure in Financial Markets," The European Physical Journal B, vol. 11, no. 1, pp. 193–197, 1999. DOI: 10.1140/epjb/e1999-00051-2.</w:t>
      </w:r>
    </w:p>
    <w:p>
      <w:pPr>
        <w:pStyle w:val="ListParagraph"/>
        <w:ind w:left="360"/>
        <w:jc w:val="both"/>
      </w:pPr>
      <w:r>
        <w:t>[13] M. Billio, M. Getmansky, A. W. Lo, and L. Pelizzon, "Econometric Measures of Connectedness and Systemic Risk in the Finance and Insurance Sectors," Journal of Financial Economics, vol. 104, no. 3, pp. 535–559, Jun. 2012. DOI: 10.1016/j.jfineco.2011.12.010.</w:t>
      </w:r>
    </w:p>
    <w:p>
      <w:pPr>
        <w:pStyle w:val="ListParagraph"/>
        <w:ind w:left="360"/>
        <w:jc w:val="both"/>
      </w:pPr>
      <w:r>
        <w:t>[14] V. D. Blondel, J.-L. Guillaume, R. Lambiotte, and E. Lefebvre, "Fast Unfolding of Communities in Large Networks," Journal of Statistical Mechanics: Theory and Experiment, vol. 2008, no. 10, p. P10008, Oct. 2008. DOI: 10.1088/1742-5468/2008/10/P10008.</w:t>
      </w:r>
    </w:p>
    <w:p>
      <w:pPr>
        <w:pStyle w:val="ListParagraph"/>
        <w:ind w:left="360"/>
        <w:jc w:val="both"/>
      </w:pPr>
      <w:r>
        <w:t>[15] P. Bonacich, "Factoring and Weighting Approaches to Status Scores and Clique Identification," Journal of Mathematical Sociology, vol. 2, no. 1, pp. 113–120, 1972. DOI: 10.1080/0022250X.1972.9989806.</w:t>
      </w:r>
    </w:p>
    <w:p>
      <w:pPr>
        <w:pStyle w:val="ListParagraph"/>
        <w:ind w:left="360"/>
        <w:jc w:val="both"/>
      </w:pPr>
      <w:r>
        <w:t>[16] R. Kali and J. Reyes, "The Architecture of Globalization: A Network Approach to International Economic Integration," Journal of International Business Studies, vol. 38, pp. 595–620, 2010. DOI: 10.1057/palgrave.jibs.8400286.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