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24153" w14:textId="31928C26" w:rsidR="00760783" w:rsidRPr="00760783" w:rsidRDefault="00760783" w:rsidP="00760783">
      <w:pPr>
        <w:spacing w:line="240" w:lineRule="auto"/>
        <w:contextualSpacing/>
        <w:jc w:val="center"/>
        <w:rPr>
          <w:rFonts w:ascii="Times New Roman" w:hAnsi="Times New Roman" w:cs="Times New Roman"/>
          <w:b/>
          <w:bCs/>
          <w:color w:val="273540"/>
          <w:sz w:val="28"/>
          <w:szCs w:val="28"/>
          <w:shd w:val="clear" w:color="auto" w:fill="FFFFFF"/>
        </w:rPr>
      </w:pPr>
      <w:r w:rsidRPr="00760783">
        <w:rPr>
          <w:rFonts w:ascii="Times New Roman" w:hAnsi="Times New Roman" w:cs="Times New Roman"/>
          <w:b/>
          <w:bCs/>
          <w:color w:val="273540"/>
          <w:sz w:val="28"/>
          <w:szCs w:val="28"/>
          <w:shd w:val="clear" w:color="auto" w:fill="FFFFFF"/>
        </w:rPr>
        <w:t>Natural Gas Prices Forecasting Analysis Overview and Recommendations</w:t>
      </w:r>
    </w:p>
    <w:p w14:paraId="1933A2A5" w14:textId="77777777" w:rsidR="00760783" w:rsidRDefault="00760783" w:rsidP="00FF409A">
      <w:pPr>
        <w:spacing w:line="240" w:lineRule="auto"/>
        <w:contextualSpacing/>
        <w:jc w:val="center"/>
        <w:rPr>
          <w:rFonts w:ascii="Times New Roman" w:hAnsi="Times New Roman" w:cs="Times New Roman"/>
          <w:b/>
          <w:bCs/>
          <w:color w:val="273540"/>
          <w:shd w:val="clear" w:color="auto" w:fill="FFFFFF"/>
        </w:rPr>
      </w:pPr>
    </w:p>
    <w:p w14:paraId="0E89B9AA" w14:textId="00B0C9A0" w:rsidR="00AD14D8" w:rsidRPr="000702A9" w:rsidRDefault="00174C4B" w:rsidP="00FF409A">
      <w:pPr>
        <w:spacing w:line="240" w:lineRule="auto"/>
        <w:contextualSpacing/>
        <w:jc w:val="center"/>
        <w:rPr>
          <w:rFonts w:ascii="Times New Roman" w:hAnsi="Times New Roman" w:cs="Times New Roman"/>
          <w:b/>
          <w:bCs/>
          <w:color w:val="273540"/>
        </w:rPr>
      </w:pPr>
      <w:r w:rsidRPr="000702A9">
        <w:rPr>
          <w:rFonts w:ascii="Times New Roman" w:hAnsi="Times New Roman" w:cs="Times New Roman"/>
          <w:b/>
          <w:bCs/>
          <w:color w:val="273540"/>
          <w:shd w:val="clear" w:color="auto" w:fill="FFFFFF"/>
        </w:rPr>
        <w:t>Forecast and Conclusion</w:t>
      </w:r>
    </w:p>
    <w:p w14:paraId="60E4F00C" w14:textId="1F53076C" w:rsidR="00AD14D8" w:rsidRDefault="00AD14D8" w:rsidP="00AD14D8">
      <w:pPr>
        <w:pStyle w:val="NormalWeb"/>
        <w:rPr>
          <w:color w:val="000000"/>
        </w:rPr>
      </w:pPr>
      <w:r>
        <w:rPr>
          <w:color w:val="000000"/>
        </w:rPr>
        <w:t xml:space="preserve">Natural gas prices are highly volatile and difficult to predict, making accurate forecasting essential for power generation, industrial operations, and household heating. Unexpected price swings create financial, operational, and policy risks, so reliable forecasts help companies </w:t>
      </w:r>
      <w:r w:rsidR="00FF409A">
        <w:rPr>
          <w:color w:val="000000"/>
        </w:rPr>
        <w:t>with financial, economic, and grid planning</w:t>
      </w:r>
      <w:r>
        <w:rPr>
          <w:color w:val="000000"/>
        </w:rPr>
        <w:t>.</w:t>
      </w:r>
    </w:p>
    <w:p w14:paraId="49D9D466" w14:textId="194CC681" w:rsidR="00AD14D8" w:rsidRDefault="00AD14D8" w:rsidP="00AD14D8">
      <w:pPr>
        <w:pStyle w:val="NormalWeb"/>
        <w:rPr>
          <w:color w:val="000000"/>
        </w:rPr>
      </w:pPr>
      <w:r>
        <w:rPr>
          <w:color w:val="000000"/>
        </w:rPr>
        <w:t>Multiple forecasting models were applied</w:t>
      </w:r>
      <w:r w:rsidR="00B470F4">
        <w:rPr>
          <w:color w:val="000000"/>
        </w:rPr>
        <w:t xml:space="preserve"> </w:t>
      </w:r>
      <w:r>
        <w:rPr>
          <w:color w:val="000000"/>
        </w:rPr>
        <w:t xml:space="preserve">including simple </w:t>
      </w:r>
      <w:r w:rsidR="00B470F4">
        <w:rPr>
          <w:color w:val="000000"/>
        </w:rPr>
        <w:t>models</w:t>
      </w:r>
      <w:r>
        <w:rPr>
          <w:color w:val="000000"/>
        </w:rPr>
        <w:t xml:space="preserve"> (Naïve, Random Walk, Moving Average) and more complex </w:t>
      </w:r>
      <w:r w:rsidR="00B470F4">
        <w:rPr>
          <w:color w:val="000000"/>
        </w:rPr>
        <w:t>models</w:t>
      </w:r>
      <w:r>
        <w:rPr>
          <w:color w:val="000000"/>
        </w:rPr>
        <w:t xml:space="preserve"> (Simple Exponential Smoothing</w:t>
      </w:r>
      <w:r w:rsidR="00FF409A">
        <w:rPr>
          <w:color w:val="000000"/>
        </w:rPr>
        <w:t xml:space="preserve"> (SES)</w:t>
      </w:r>
      <w:r>
        <w:rPr>
          <w:color w:val="000000"/>
        </w:rPr>
        <w:t xml:space="preserve">, Holt-Winters, ARIMA). Due to the volatility of the series, the more advanced models ultimately converged to the behavior of the Naïve model. The Naïve forecast achieved a MAPE of 8.706%, which is below the 10% </w:t>
      </w:r>
      <w:r w:rsidR="000B6858">
        <w:rPr>
          <w:color w:val="000000"/>
        </w:rPr>
        <w:t xml:space="preserve">threshold </w:t>
      </w:r>
      <w:r>
        <w:rPr>
          <w:color w:val="000000"/>
        </w:rPr>
        <w:t>and indicates strong performance</w:t>
      </w:r>
      <w:r w:rsidR="00FF409A">
        <w:rPr>
          <w:color w:val="000000"/>
        </w:rPr>
        <w:t xml:space="preserve"> and acceptable model fit</w:t>
      </w:r>
      <w:r>
        <w:rPr>
          <w:color w:val="000000"/>
        </w:rPr>
        <w:t>. The ACF of the residuals further confirmed no autocorrelation</w:t>
      </w:r>
      <w:r w:rsidR="00B470F4">
        <w:rPr>
          <w:color w:val="000000"/>
        </w:rPr>
        <w:t xml:space="preserve"> indicating</w:t>
      </w:r>
      <w:r>
        <w:rPr>
          <w:color w:val="000000"/>
        </w:rPr>
        <w:t xml:space="preserve"> that the model errors are essentially white noise.</w:t>
      </w:r>
    </w:p>
    <w:p w14:paraId="65F5B719" w14:textId="73BCA949" w:rsidR="00BD683B" w:rsidRDefault="00AD14D8" w:rsidP="00FF409A">
      <w:pPr>
        <w:pStyle w:val="NormalWeb"/>
      </w:pPr>
      <w:r>
        <w:rPr>
          <w:color w:val="000000"/>
        </w:rPr>
        <w:t>Using this model, the one-year-ahead forecast equals the last observed value, $2.30. For long-term strategic planning (capital investment, macroeconomic policy, and geopolitical considerations), it is more appropriate to rely on the 80–95% prediction interval of $4.11–$5.06 rather than the point estimate.</w:t>
      </w:r>
    </w:p>
    <w:p w14:paraId="6CBBD043" w14:textId="1220077B" w:rsidR="00AD14D8" w:rsidRPr="000702A9" w:rsidRDefault="00174C4B" w:rsidP="00FF409A">
      <w:pPr>
        <w:spacing w:line="240" w:lineRule="auto"/>
        <w:contextualSpacing/>
        <w:jc w:val="center"/>
        <w:rPr>
          <w:rFonts w:ascii="Times New Roman" w:hAnsi="Times New Roman" w:cs="Times New Roman"/>
          <w:b/>
          <w:bCs/>
          <w:color w:val="273540"/>
          <w:shd w:val="clear" w:color="auto" w:fill="FFFFFF"/>
        </w:rPr>
      </w:pPr>
      <w:r w:rsidRPr="000702A9">
        <w:rPr>
          <w:rFonts w:ascii="Times New Roman" w:hAnsi="Times New Roman" w:cs="Times New Roman"/>
          <w:b/>
          <w:bCs/>
          <w:color w:val="273540"/>
          <w:shd w:val="clear" w:color="auto" w:fill="FFFFFF"/>
        </w:rPr>
        <w:t>Methodology</w:t>
      </w:r>
    </w:p>
    <w:p w14:paraId="0C22EF75" w14:textId="2EEBBF3A" w:rsidR="000F3323" w:rsidRDefault="000F3323" w:rsidP="000F3323">
      <w:pPr>
        <w:pStyle w:val="NormalWeb"/>
        <w:rPr>
          <w:color w:val="000000"/>
        </w:rPr>
      </w:pPr>
      <w:r>
        <w:rPr>
          <w:color w:val="000000"/>
        </w:rPr>
        <w:t>To improve model performance</w:t>
      </w:r>
      <w:r w:rsidR="00760783">
        <w:rPr>
          <w:color w:val="000000"/>
        </w:rPr>
        <w:t xml:space="preserve"> and forecasting</w:t>
      </w:r>
      <w:r>
        <w:rPr>
          <w:color w:val="000000"/>
        </w:rPr>
        <w:t>, the dataset was truncated a</w:t>
      </w:r>
      <w:r w:rsidR="00B470F4">
        <w:rPr>
          <w:color w:val="000000"/>
        </w:rPr>
        <w:t>round</w:t>
      </w:r>
      <w:r>
        <w:rPr>
          <w:color w:val="000000"/>
        </w:rPr>
        <w:t xml:space="preserve"> November 2009 to remove the extreme price spikes from 2001, 2005, and early 2009.</w:t>
      </w:r>
      <w:r w:rsidR="00760783">
        <w:rPr>
          <w:color w:val="000000"/>
        </w:rPr>
        <w:t xml:space="preserve"> </w:t>
      </w:r>
      <w:r w:rsidR="00760783">
        <w:rPr>
          <w:color w:val="000000"/>
        </w:rPr>
        <w:t>A boxplot of the truncated dataset confirmed that most observations now fall within a reasonable range, with only two expected outliers remaining, indicating that the cleaned data is appropriate for forecasting.</w:t>
      </w:r>
    </w:p>
    <w:p w14:paraId="78AF1A3C" w14:textId="2D8F5681" w:rsidR="000F3323" w:rsidRDefault="000F3323" w:rsidP="000F3323">
      <w:pPr>
        <w:pStyle w:val="NormalWeb"/>
        <w:rPr>
          <w:color w:val="000000"/>
        </w:rPr>
      </w:pPr>
      <w:r>
        <w:rPr>
          <w:color w:val="000000"/>
        </w:rPr>
        <w:t>MAPE was chosen as the</w:t>
      </w:r>
      <w:r w:rsidR="00FF409A">
        <w:rPr>
          <w:color w:val="000000"/>
        </w:rPr>
        <w:t xml:space="preserve"> accuracy measure</w:t>
      </w:r>
      <w:r>
        <w:rPr>
          <w:color w:val="000000"/>
        </w:rPr>
        <w:t xml:space="preserve"> because it is easy for stakeholders to interpret, is scale-independent, and treats positive and negative errors </w:t>
      </w:r>
      <w:r w:rsidR="00FF409A">
        <w:rPr>
          <w:color w:val="000000"/>
        </w:rPr>
        <w:t>equally</w:t>
      </w:r>
      <w:r>
        <w:rPr>
          <w:color w:val="000000"/>
        </w:rPr>
        <w:t>, reducing the risk of systematic over- or under-forecasting.</w:t>
      </w:r>
      <w:r w:rsidR="00426D2E">
        <w:rPr>
          <w:color w:val="000000"/>
        </w:rPr>
        <w:t xml:space="preserve"> </w:t>
      </w:r>
      <w:r>
        <w:rPr>
          <w:color w:val="000000"/>
        </w:rPr>
        <w:t>Next, the ACF was examined to identify any remaining autocorrelation or potential seasonality in the time series. A decomposition analysis was also performed to separately assess trend, seasonality, and noise, as well as to detect any structural breaks.</w:t>
      </w:r>
    </w:p>
    <w:p w14:paraId="35513092" w14:textId="77777777" w:rsidR="00FF409A" w:rsidRDefault="000F3323" w:rsidP="00FF409A">
      <w:pPr>
        <w:pStyle w:val="NormalWeb"/>
        <w:rPr>
          <w:color w:val="000000"/>
        </w:rPr>
      </w:pPr>
      <w:r>
        <w:rPr>
          <w:color w:val="000000"/>
        </w:rPr>
        <w:t>With the data validated and its characteristics understood, the forecasting models were then applied.</w:t>
      </w:r>
    </w:p>
    <w:p w14:paraId="6099B3C4" w14:textId="1CD1BD20" w:rsidR="00A62C11" w:rsidRPr="000702A9" w:rsidRDefault="00174C4B" w:rsidP="00FF409A">
      <w:pPr>
        <w:pStyle w:val="NormalWeb"/>
        <w:jc w:val="center"/>
        <w:rPr>
          <w:b/>
          <w:bCs/>
          <w:color w:val="000000"/>
        </w:rPr>
      </w:pPr>
      <w:r w:rsidRPr="000702A9">
        <w:rPr>
          <w:b/>
          <w:bCs/>
          <w:color w:val="273540"/>
          <w:shd w:val="clear" w:color="auto" w:fill="FFFFFF"/>
        </w:rPr>
        <w:t>Data, Exploration insights</w:t>
      </w:r>
    </w:p>
    <w:p w14:paraId="3E7F6270" w14:textId="011ECA17" w:rsidR="00FF409A" w:rsidRDefault="00FF409A" w:rsidP="00FF409A">
      <w:pPr>
        <w:pStyle w:val="NormalWeb"/>
        <w:rPr>
          <w:color w:val="000000"/>
        </w:rPr>
      </w:pPr>
      <w:r>
        <w:rPr>
          <w:color w:val="000000"/>
        </w:rPr>
        <w:t xml:space="preserve">The ACF of the time series shows a gradually declining </w:t>
      </w:r>
      <w:r w:rsidR="00AD70C2">
        <w:rPr>
          <w:color w:val="000000"/>
        </w:rPr>
        <w:t>pattern</w:t>
      </w:r>
      <w:r>
        <w:rPr>
          <w:color w:val="000000"/>
        </w:rPr>
        <w:t xml:space="preserve"> that eventually falls below the significan</w:t>
      </w:r>
      <w:r>
        <w:rPr>
          <w:color w:val="000000"/>
        </w:rPr>
        <w:t>t line</w:t>
      </w:r>
      <w:r w:rsidR="00AD70C2">
        <w:rPr>
          <w:color w:val="000000"/>
        </w:rPr>
        <w:t xml:space="preserve"> and no repeating patterns at specific intervals</w:t>
      </w:r>
      <w:r w:rsidR="00B470F4">
        <w:rPr>
          <w:color w:val="000000"/>
        </w:rPr>
        <w:t xml:space="preserve"> </w:t>
      </w:r>
      <w:r>
        <w:rPr>
          <w:color w:val="000000"/>
        </w:rPr>
        <w:t xml:space="preserve">indicating the presence of a trend and the absence of seasonality. In contrast, the decomposition reveals repeating seasonal </w:t>
      </w:r>
      <w:r w:rsidR="00B470F4">
        <w:rPr>
          <w:color w:val="000000"/>
        </w:rPr>
        <w:t>patterns,</w:t>
      </w:r>
      <w:r>
        <w:rPr>
          <w:color w:val="000000"/>
        </w:rPr>
        <w:t xml:space="preserve"> but their amplitude is weak and strong downward trend</w:t>
      </w:r>
      <w:r w:rsidR="00AD70C2">
        <w:rPr>
          <w:color w:val="000000"/>
        </w:rPr>
        <w:t xml:space="preserve"> of the data is overpowering</w:t>
      </w:r>
      <w:r w:rsidR="00B470F4">
        <w:rPr>
          <w:color w:val="000000"/>
        </w:rPr>
        <w:t xml:space="preserve"> </w:t>
      </w:r>
      <w:r>
        <w:rPr>
          <w:color w:val="000000"/>
        </w:rPr>
        <w:t xml:space="preserve">which is why the ACF fails to detect them. Overall, the series behaves </w:t>
      </w:r>
      <w:r w:rsidR="00B470F4">
        <w:rPr>
          <w:color w:val="000000"/>
        </w:rPr>
        <w:t xml:space="preserve">randomly </w:t>
      </w:r>
      <w:r>
        <w:rPr>
          <w:color w:val="000000"/>
        </w:rPr>
        <w:t xml:space="preserve">making it </w:t>
      </w:r>
      <w:r>
        <w:rPr>
          <w:color w:val="000000"/>
        </w:rPr>
        <w:lastRenderedPageBreak/>
        <w:t>appropriate for models such as Naïve and Random Walk</w:t>
      </w:r>
      <w:r w:rsidR="00B470F4">
        <w:rPr>
          <w:color w:val="000000"/>
        </w:rPr>
        <w:t xml:space="preserve"> </w:t>
      </w:r>
      <w:r>
        <w:rPr>
          <w:color w:val="000000"/>
        </w:rPr>
        <w:t xml:space="preserve">and </w:t>
      </w:r>
      <w:r w:rsidR="00B470F4">
        <w:rPr>
          <w:color w:val="000000"/>
        </w:rPr>
        <w:t xml:space="preserve">not very </w:t>
      </w:r>
      <w:r>
        <w:rPr>
          <w:color w:val="000000"/>
        </w:rPr>
        <w:t>suitable for ARIMA</w:t>
      </w:r>
      <w:r w:rsidR="00B470F4">
        <w:rPr>
          <w:color w:val="000000"/>
        </w:rPr>
        <w:t xml:space="preserve"> model</w:t>
      </w:r>
      <w:r>
        <w:rPr>
          <w:color w:val="000000"/>
        </w:rPr>
        <w:t>.</w:t>
      </w:r>
    </w:p>
    <w:p w14:paraId="37F02DD8" w14:textId="27E1CF7A" w:rsidR="00FF409A" w:rsidRDefault="00FF409A" w:rsidP="00FF409A">
      <w:pPr>
        <w:pStyle w:val="NormalWeb"/>
        <w:rPr>
          <w:color w:val="000000"/>
        </w:rPr>
      </w:pPr>
      <w:r>
        <w:rPr>
          <w:color w:val="000000"/>
        </w:rPr>
        <w:t xml:space="preserve">Across </w:t>
      </w:r>
      <w:r w:rsidR="00B470F4">
        <w:rPr>
          <w:color w:val="000000"/>
        </w:rPr>
        <w:t>the following</w:t>
      </w:r>
      <w:r>
        <w:rPr>
          <w:color w:val="000000"/>
        </w:rPr>
        <w:t xml:space="preserve"> models</w:t>
      </w:r>
      <w:r w:rsidR="00B470F4">
        <w:rPr>
          <w:color w:val="000000"/>
        </w:rPr>
        <w:t xml:space="preserve">: </w:t>
      </w:r>
      <w:r>
        <w:rPr>
          <w:color w:val="000000"/>
        </w:rPr>
        <w:t>Naïve, Random Walk, Simple Exponential Smoothing, and ARIMA</w:t>
      </w:r>
      <w:r w:rsidR="000702A9">
        <w:rPr>
          <w:color w:val="000000"/>
        </w:rPr>
        <w:t xml:space="preserve">, </w:t>
      </w:r>
      <w:r>
        <w:rPr>
          <w:color w:val="000000"/>
        </w:rPr>
        <w:t>the MAPE values were clustered around 8%</w:t>
      </w:r>
      <w:r w:rsidR="00B470F4">
        <w:rPr>
          <w:color w:val="000000"/>
        </w:rPr>
        <w:t xml:space="preserve"> which </w:t>
      </w:r>
      <w:r>
        <w:rPr>
          <w:color w:val="000000"/>
        </w:rPr>
        <w:t>demonstrat</w:t>
      </w:r>
      <w:r w:rsidR="00B470F4">
        <w:rPr>
          <w:color w:val="000000"/>
        </w:rPr>
        <w:t>ed</w:t>
      </w:r>
      <w:r>
        <w:rPr>
          <w:color w:val="000000"/>
        </w:rPr>
        <w:t xml:space="preserve"> that the more complex models were providing no practical improvement</w:t>
      </w:r>
      <w:r w:rsidR="00AD70C2">
        <w:rPr>
          <w:color w:val="000000"/>
        </w:rPr>
        <w:t xml:space="preserve"> or advantage</w:t>
      </w:r>
      <w:r>
        <w:rPr>
          <w:color w:val="000000"/>
        </w:rPr>
        <w:t xml:space="preserve"> and effectively converging to the behavior of the Naïve forecast. The SES model had an </w:t>
      </w:r>
      <w:r w:rsidR="00AD70C2">
        <w:rPr>
          <w:color w:val="000000"/>
        </w:rPr>
        <w:t xml:space="preserve">alpha </w:t>
      </w:r>
      <w:r>
        <w:rPr>
          <w:color w:val="000000"/>
        </w:rPr>
        <w:t xml:space="preserve">value of </w:t>
      </w:r>
      <w:r w:rsidR="00AD70C2">
        <w:rPr>
          <w:color w:val="000000"/>
        </w:rPr>
        <w:t>0.9999</w:t>
      </w:r>
      <w:r>
        <w:rPr>
          <w:color w:val="000000"/>
        </w:rPr>
        <w:t xml:space="preserve"> confirming that it placed almost all weight on the most recent observation</w:t>
      </w:r>
      <w:r w:rsidR="00B470F4">
        <w:rPr>
          <w:color w:val="000000"/>
        </w:rPr>
        <w:t xml:space="preserve"> </w:t>
      </w:r>
      <w:r>
        <w:rPr>
          <w:color w:val="000000"/>
        </w:rPr>
        <w:t>which is expected in a highly volatile series.</w:t>
      </w:r>
    </w:p>
    <w:p w14:paraId="0269E07B" w14:textId="49755C04" w:rsidR="00FF409A" w:rsidRPr="000702A9" w:rsidRDefault="00FF409A" w:rsidP="00FF409A">
      <w:pPr>
        <w:pStyle w:val="NormalWeb"/>
        <w:rPr>
          <w:color w:val="000000"/>
        </w:rPr>
      </w:pPr>
      <w:r>
        <w:rPr>
          <w:color w:val="000000"/>
        </w:rPr>
        <w:t xml:space="preserve">Residual </w:t>
      </w:r>
      <w:r w:rsidR="00AD70C2">
        <w:rPr>
          <w:color w:val="000000"/>
        </w:rPr>
        <w:t>analysis</w:t>
      </w:r>
      <w:r>
        <w:rPr>
          <w:color w:val="000000"/>
        </w:rPr>
        <w:t xml:space="preserve"> across models showed random fluctuations around zero, no </w:t>
      </w:r>
      <w:r w:rsidR="00426D2E">
        <w:rPr>
          <w:color w:val="000000"/>
        </w:rPr>
        <w:t>points of</w:t>
      </w:r>
      <w:r>
        <w:rPr>
          <w:color w:val="000000"/>
        </w:rPr>
        <w:t xml:space="preserve"> over- or under-</w:t>
      </w:r>
      <w:r w:rsidR="00AD70C2">
        <w:rPr>
          <w:color w:val="000000"/>
        </w:rPr>
        <w:t>forecasting</w:t>
      </w:r>
      <w:r>
        <w:rPr>
          <w:color w:val="000000"/>
        </w:rPr>
        <w:t>, and histograms approximately bell-shaped with slight right skew</w:t>
      </w:r>
      <w:r w:rsidR="00B470F4">
        <w:rPr>
          <w:color w:val="000000"/>
        </w:rPr>
        <w:t xml:space="preserve"> which would </w:t>
      </w:r>
      <w:r>
        <w:rPr>
          <w:color w:val="000000"/>
        </w:rPr>
        <w:t>suggest</w:t>
      </w:r>
      <w:r w:rsidR="00AD70C2">
        <w:rPr>
          <w:color w:val="000000"/>
        </w:rPr>
        <w:t xml:space="preserve"> strong</w:t>
      </w:r>
      <w:r w:rsidR="00B470F4">
        <w:rPr>
          <w:color w:val="000000"/>
        </w:rPr>
        <w:t xml:space="preserve">er </w:t>
      </w:r>
      <w:r w:rsidR="00AD70C2">
        <w:rPr>
          <w:color w:val="000000"/>
        </w:rPr>
        <w:t>under forecasting than over forecasting</w:t>
      </w:r>
      <w:r>
        <w:rPr>
          <w:color w:val="000000"/>
        </w:rPr>
        <w:t xml:space="preserve">. The residuals exhibited no significant autocorrelation </w:t>
      </w:r>
      <w:r w:rsidR="00B470F4">
        <w:rPr>
          <w:color w:val="000000"/>
        </w:rPr>
        <w:t>providing further proof</w:t>
      </w:r>
      <w:r>
        <w:rPr>
          <w:color w:val="000000"/>
        </w:rPr>
        <w:t xml:space="preserve"> that the errors behave like white noise. Variance increased for fitted and actual values above </w:t>
      </w:r>
      <w:r w:rsidR="000702A9">
        <w:rPr>
          <w:color w:val="000000"/>
        </w:rPr>
        <w:t>5 and</w:t>
      </w:r>
      <w:r w:rsidR="00AD70C2">
        <w:rPr>
          <w:color w:val="000000"/>
        </w:rPr>
        <w:t xml:space="preserve"> decreased for fitted and actual values at or below 5</w:t>
      </w:r>
      <w:r w:rsidR="001211A1">
        <w:rPr>
          <w:color w:val="000000"/>
        </w:rPr>
        <w:t xml:space="preserve"> but this does not </w:t>
      </w:r>
      <w:r>
        <w:rPr>
          <w:color w:val="000000"/>
        </w:rPr>
        <w:t>undermine overall model adequacy</w:t>
      </w:r>
      <w:r w:rsidR="001211A1">
        <w:rPr>
          <w:color w:val="000000"/>
        </w:rPr>
        <w:t xml:space="preserve"> and fit</w:t>
      </w:r>
      <w:r>
        <w:rPr>
          <w:color w:val="000000"/>
        </w:rPr>
        <w:t>.</w:t>
      </w:r>
      <w:r w:rsidR="00426D2E">
        <w:rPr>
          <w:color w:val="000000"/>
        </w:rPr>
        <w:t xml:space="preserve"> </w:t>
      </w:r>
      <w:r>
        <w:rPr>
          <w:color w:val="000000"/>
        </w:rPr>
        <w:t>ACF plots of residuals for most models remained within the significan</w:t>
      </w:r>
      <w:r w:rsidR="00AD70C2">
        <w:rPr>
          <w:color w:val="000000"/>
        </w:rPr>
        <w:t>t lines</w:t>
      </w:r>
      <w:r>
        <w:rPr>
          <w:color w:val="000000"/>
        </w:rPr>
        <w:t>, confirming that the fits were acceptable. The Naïve model performed particularly well</w:t>
      </w:r>
      <w:r w:rsidR="001211A1">
        <w:rPr>
          <w:color w:val="000000"/>
        </w:rPr>
        <w:t xml:space="preserve"> except </w:t>
      </w:r>
      <w:r>
        <w:rPr>
          <w:color w:val="000000"/>
        </w:rPr>
        <w:t xml:space="preserve">at lag </w:t>
      </w:r>
      <w:r w:rsidR="001211A1">
        <w:rPr>
          <w:color w:val="000000"/>
        </w:rPr>
        <w:t>3 and</w:t>
      </w:r>
      <w:r>
        <w:rPr>
          <w:color w:val="000000"/>
        </w:rPr>
        <w:t xml:space="preserve"> is sufficiently reliable for operational or industrial decision-making. While ARIMA also met adequacy tests, it was unnecessarily complex for this dataset and tended to overfit</w:t>
      </w:r>
      <w:r w:rsidR="001211A1">
        <w:rPr>
          <w:color w:val="000000"/>
        </w:rPr>
        <w:t>.</w:t>
      </w:r>
    </w:p>
    <w:p w14:paraId="519E584A" w14:textId="3720E9AA" w:rsidR="00FF08D9" w:rsidRPr="000702A9" w:rsidRDefault="00174C4B" w:rsidP="00FF409A">
      <w:pPr>
        <w:pStyle w:val="NormalWeb"/>
        <w:jc w:val="center"/>
        <w:rPr>
          <w:b/>
          <w:bCs/>
          <w:color w:val="273540"/>
          <w:shd w:val="clear" w:color="auto" w:fill="FFFFFF"/>
        </w:rPr>
      </w:pPr>
      <w:r w:rsidRPr="000702A9">
        <w:rPr>
          <w:b/>
          <w:bCs/>
          <w:color w:val="273540"/>
          <w:shd w:val="clear" w:color="auto" w:fill="FFFFFF"/>
        </w:rPr>
        <w:t>Limitations</w:t>
      </w:r>
      <w:r w:rsidR="00984AE5">
        <w:rPr>
          <w:b/>
          <w:bCs/>
          <w:color w:val="273540"/>
          <w:shd w:val="clear" w:color="auto" w:fill="FFFFFF"/>
        </w:rPr>
        <w:t xml:space="preserve">, </w:t>
      </w:r>
      <w:r w:rsidRPr="000702A9">
        <w:rPr>
          <w:b/>
          <w:bCs/>
          <w:color w:val="273540"/>
          <w:shd w:val="clear" w:color="auto" w:fill="FFFFFF"/>
        </w:rPr>
        <w:t xml:space="preserve">Recommendations, </w:t>
      </w:r>
      <w:r w:rsidR="00984AE5">
        <w:rPr>
          <w:b/>
          <w:bCs/>
          <w:color w:val="273540"/>
          <w:shd w:val="clear" w:color="auto" w:fill="FFFFFF"/>
        </w:rPr>
        <w:t>and Improvements</w:t>
      </w:r>
    </w:p>
    <w:p w14:paraId="2C7531F5" w14:textId="7088C5FF" w:rsidR="000702A9" w:rsidRDefault="00FF409A" w:rsidP="00FF409A">
      <w:pPr>
        <w:pStyle w:val="NormalWeb"/>
        <w:rPr>
          <w:color w:val="000000"/>
        </w:rPr>
      </w:pPr>
      <w:r>
        <w:rPr>
          <w:color w:val="000000"/>
        </w:rPr>
        <w:t>Given the convergence of all models</w:t>
      </w:r>
      <w:r w:rsidR="00984AE5">
        <w:rPr>
          <w:color w:val="000000"/>
        </w:rPr>
        <w:t xml:space="preserve"> </w:t>
      </w:r>
      <w:r w:rsidR="000702A9">
        <w:rPr>
          <w:color w:val="000000"/>
        </w:rPr>
        <w:t>the high volatility, low autocorrelation, and</w:t>
      </w:r>
      <w:r>
        <w:rPr>
          <w:color w:val="000000"/>
        </w:rPr>
        <w:t xml:space="preserve"> the high-noise, low-signal nature of the series, the Naïve forecast is the </w:t>
      </w:r>
      <w:r w:rsidR="00AD70C2">
        <w:rPr>
          <w:color w:val="000000"/>
        </w:rPr>
        <w:t>recommended approach</w:t>
      </w:r>
      <w:r>
        <w:rPr>
          <w:color w:val="000000"/>
        </w:rPr>
        <w:t xml:space="preserve">. More complex approaches such as SES or ARIMA do not provide additional </w:t>
      </w:r>
      <w:r w:rsidR="00AD70C2">
        <w:rPr>
          <w:color w:val="000000"/>
        </w:rPr>
        <w:t>forecasting</w:t>
      </w:r>
      <w:r w:rsidR="00984AE5">
        <w:rPr>
          <w:color w:val="000000"/>
        </w:rPr>
        <w:t xml:space="preserve"> value</w:t>
      </w:r>
      <w:r>
        <w:rPr>
          <w:color w:val="000000"/>
        </w:rPr>
        <w:t xml:space="preserve"> because the data lacks strong trend</w:t>
      </w:r>
      <w:r w:rsidR="00984AE5">
        <w:rPr>
          <w:color w:val="000000"/>
        </w:rPr>
        <w:t xml:space="preserve"> and </w:t>
      </w:r>
      <w:r>
        <w:rPr>
          <w:color w:val="000000"/>
        </w:rPr>
        <w:t>stable seasonality</w:t>
      </w:r>
      <w:r w:rsidR="00984AE5">
        <w:rPr>
          <w:color w:val="000000"/>
        </w:rPr>
        <w:t xml:space="preserve"> </w:t>
      </w:r>
      <w:r>
        <w:rPr>
          <w:color w:val="000000"/>
        </w:rPr>
        <w:t>making tomorrow’s best estimate essentially today’s value plus random noise.</w:t>
      </w:r>
      <w:r w:rsidR="000702A9">
        <w:rPr>
          <w:color w:val="000000"/>
        </w:rPr>
        <w:t xml:space="preserve"> </w:t>
      </w:r>
      <w:r w:rsidR="000702A9" w:rsidRPr="000702A9">
        <w:rPr>
          <w:color w:val="000000"/>
        </w:rPr>
        <w:t>While this implies limited short-term accuracy</w:t>
      </w:r>
      <w:r w:rsidR="00984AE5">
        <w:rPr>
          <w:color w:val="000000"/>
        </w:rPr>
        <w:t>, it is recommended to use</w:t>
      </w:r>
      <w:r w:rsidR="000702A9" w:rsidRPr="000702A9">
        <w:rPr>
          <w:color w:val="000000"/>
        </w:rPr>
        <w:t xml:space="preserve"> a broader 80–95% forecast interval </w:t>
      </w:r>
      <w:r w:rsidR="00984AE5">
        <w:rPr>
          <w:color w:val="000000"/>
        </w:rPr>
        <w:t xml:space="preserve">which </w:t>
      </w:r>
      <w:r w:rsidR="000702A9" w:rsidRPr="000702A9">
        <w:rPr>
          <w:color w:val="000000"/>
        </w:rPr>
        <w:t>offers more realistic guidance for strategic and financial planning.</w:t>
      </w:r>
      <w:r w:rsidR="000702A9">
        <w:rPr>
          <w:color w:val="000000"/>
        </w:rPr>
        <w:t xml:space="preserve"> </w:t>
      </w:r>
      <w:r>
        <w:rPr>
          <w:color w:val="000000"/>
        </w:rPr>
        <w:t xml:space="preserve">Using the Naïve model is also advantageous because it is </w:t>
      </w:r>
      <w:r w:rsidR="000702A9" w:rsidRPr="000702A9">
        <w:rPr>
          <w:color w:val="000000"/>
        </w:rPr>
        <w:t>cost efficient</w:t>
      </w:r>
      <w:r>
        <w:rPr>
          <w:color w:val="000000"/>
        </w:rPr>
        <w:t xml:space="preserve">, easy to interpret, </w:t>
      </w:r>
      <w:r w:rsidR="000702A9">
        <w:rPr>
          <w:color w:val="000000"/>
        </w:rPr>
        <w:t xml:space="preserve">performance driven, </w:t>
      </w:r>
      <w:r>
        <w:rPr>
          <w:color w:val="000000"/>
        </w:rPr>
        <w:t>avoids overfitting, and can be updated effortlessly as new data arrives.</w:t>
      </w:r>
      <w:r w:rsidR="000702A9">
        <w:rPr>
          <w:color w:val="000000"/>
        </w:rPr>
        <w:t xml:space="preserve"> </w:t>
      </w:r>
    </w:p>
    <w:p w14:paraId="132471CD" w14:textId="48CB2F1B" w:rsidR="00984AE5" w:rsidRDefault="00FF409A" w:rsidP="00031891">
      <w:pPr>
        <w:pStyle w:val="NormalWeb"/>
        <w:rPr>
          <w:rStyle w:val="Strong"/>
          <w:rFonts w:eastAsiaTheme="majorEastAsia"/>
          <w:b w:val="0"/>
          <w:bCs w:val="0"/>
          <w:color w:val="000000"/>
        </w:rPr>
      </w:pPr>
      <w:r>
        <w:rPr>
          <w:color w:val="000000"/>
        </w:rPr>
        <w:t>However, the model has limitations: it cannot incorporate supply</w:t>
      </w:r>
      <w:r w:rsidR="000702A9">
        <w:rPr>
          <w:color w:val="000000"/>
        </w:rPr>
        <w:t xml:space="preserve"> and </w:t>
      </w:r>
      <w:r>
        <w:rPr>
          <w:color w:val="000000"/>
        </w:rPr>
        <w:t>demand fundamentals (storage, weather, outages, policy changes), performs poorly during price shocks, cannot capture seasonal or long-term trends, and is overly sensitive to the most recent data point, especially when it is an outlier.</w:t>
      </w:r>
      <w:r w:rsidR="000702A9">
        <w:rPr>
          <w:color w:val="000000"/>
        </w:rPr>
        <w:t xml:space="preserve"> </w:t>
      </w:r>
      <w:r>
        <w:rPr>
          <w:color w:val="000000"/>
        </w:rPr>
        <w:t xml:space="preserve">To </w:t>
      </w:r>
      <w:r w:rsidR="00DA3859">
        <w:rPr>
          <w:color w:val="000000"/>
        </w:rPr>
        <w:t>fix</w:t>
      </w:r>
      <w:r>
        <w:rPr>
          <w:color w:val="000000"/>
        </w:rPr>
        <w:t xml:space="preserve"> these </w:t>
      </w:r>
      <w:r w:rsidR="00DA3859">
        <w:rPr>
          <w:color w:val="000000"/>
        </w:rPr>
        <w:t xml:space="preserve">issues, </w:t>
      </w:r>
      <w:r w:rsidR="00446686">
        <w:rPr>
          <w:color w:val="000000"/>
        </w:rPr>
        <w:t xml:space="preserve">several </w:t>
      </w:r>
      <w:r w:rsidR="00DA3859">
        <w:rPr>
          <w:color w:val="000000"/>
        </w:rPr>
        <w:t>improvements</w:t>
      </w:r>
      <w:r>
        <w:rPr>
          <w:color w:val="000000"/>
        </w:rPr>
        <w:t xml:space="preserve"> can be </w:t>
      </w:r>
      <w:r w:rsidR="00DA3859">
        <w:rPr>
          <w:color w:val="000000"/>
        </w:rPr>
        <w:t>made</w:t>
      </w:r>
      <w:r>
        <w:rPr>
          <w:color w:val="000000"/>
        </w:rPr>
        <w:t>.</w:t>
      </w:r>
      <w:r w:rsidR="000702A9">
        <w:rPr>
          <w:color w:val="000000"/>
        </w:rPr>
        <w:t xml:space="preserve"> </w:t>
      </w:r>
    </w:p>
    <w:p w14:paraId="6115F4F5" w14:textId="023068BE" w:rsidR="00984AE5" w:rsidRDefault="00984AE5" w:rsidP="00984AE5">
      <w:pPr>
        <w:pStyle w:val="NormalWeb"/>
        <w:numPr>
          <w:ilvl w:val="0"/>
          <w:numId w:val="24"/>
        </w:numPr>
        <w:rPr>
          <w:color w:val="000000"/>
        </w:rPr>
      </w:pPr>
      <w:r>
        <w:rPr>
          <w:color w:val="000000"/>
        </w:rPr>
        <w:t>P</w:t>
      </w:r>
      <w:r w:rsidR="00FF409A">
        <w:rPr>
          <w:color w:val="000000"/>
        </w:rPr>
        <w:t xml:space="preserve">air the Naïve baseline with machine-learning models such as </w:t>
      </w:r>
      <w:proofErr w:type="spellStart"/>
      <w:r w:rsidR="00FF409A">
        <w:rPr>
          <w:color w:val="000000"/>
        </w:rPr>
        <w:t>XGBoost</w:t>
      </w:r>
      <w:proofErr w:type="spellEnd"/>
      <w:r w:rsidR="00FF409A">
        <w:rPr>
          <w:color w:val="000000"/>
        </w:rPr>
        <w:t xml:space="preserve">, </w:t>
      </w:r>
      <w:proofErr w:type="spellStart"/>
      <w:r w:rsidR="00FF409A">
        <w:rPr>
          <w:color w:val="000000"/>
        </w:rPr>
        <w:t>LightGBM</w:t>
      </w:r>
      <w:proofErr w:type="spellEnd"/>
      <w:r w:rsidR="00FF409A">
        <w:rPr>
          <w:color w:val="000000"/>
        </w:rPr>
        <w:t xml:space="preserve">, Random Forests, or neural networks to capture nonlinear relationships and include </w:t>
      </w:r>
      <w:r>
        <w:rPr>
          <w:color w:val="000000"/>
        </w:rPr>
        <w:t xml:space="preserve">external </w:t>
      </w:r>
      <w:r w:rsidR="00FF409A">
        <w:rPr>
          <w:color w:val="000000"/>
        </w:rPr>
        <w:t>variables.</w:t>
      </w:r>
      <w:r w:rsidR="000702A9">
        <w:rPr>
          <w:color w:val="000000"/>
        </w:rPr>
        <w:t xml:space="preserve"> </w:t>
      </w:r>
    </w:p>
    <w:p w14:paraId="7462FD8B" w14:textId="77777777" w:rsidR="00984AE5" w:rsidRDefault="00984AE5" w:rsidP="00984AE5">
      <w:pPr>
        <w:pStyle w:val="NormalWeb"/>
        <w:numPr>
          <w:ilvl w:val="0"/>
          <w:numId w:val="24"/>
        </w:numPr>
        <w:rPr>
          <w:color w:val="000000"/>
        </w:rPr>
      </w:pPr>
      <w:r>
        <w:rPr>
          <w:color w:val="000000"/>
        </w:rPr>
        <w:t>S</w:t>
      </w:r>
      <w:r w:rsidR="00FF409A">
        <w:rPr>
          <w:color w:val="000000"/>
        </w:rPr>
        <w:t xml:space="preserve">tabilize the variance by modeling changes </w:t>
      </w:r>
      <w:r w:rsidR="000702A9">
        <w:rPr>
          <w:color w:val="000000"/>
        </w:rPr>
        <w:t>by using data transformation prior to forecasting model application</w:t>
      </w:r>
      <w:r w:rsidR="00FF409A">
        <w:rPr>
          <w:color w:val="000000"/>
        </w:rPr>
        <w:t xml:space="preserve"> and reconstructing the levels afterward.</w:t>
      </w:r>
      <w:r w:rsidR="000702A9">
        <w:rPr>
          <w:color w:val="000000"/>
        </w:rPr>
        <w:t xml:space="preserve"> </w:t>
      </w:r>
    </w:p>
    <w:p w14:paraId="4D6C95BB" w14:textId="25DA28A6" w:rsidR="00F54A63" w:rsidRPr="00FF409A" w:rsidRDefault="00984AE5" w:rsidP="00984AE5">
      <w:pPr>
        <w:pStyle w:val="NormalWeb"/>
        <w:numPr>
          <w:ilvl w:val="0"/>
          <w:numId w:val="24"/>
        </w:numPr>
        <w:rPr>
          <w:color w:val="000000"/>
        </w:rPr>
      </w:pPr>
      <w:r>
        <w:rPr>
          <w:color w:val="000000"/>
        </w:rPr>
        <w:t>U</w:t>
      </w:r>
      <w:r w:rsidR="00FF409A">
        <w:rPr>
          <w:color w:val="000000"/>
        </w:rPr>
        <w:t>se hybrid</w:t>
      </w:r>
      <w:r>
        <w:rPr>
          <w:color w:val="000000"/>
        </w:rPr>
        <w:t xml:space="preserve"> </w:t>
      </w:r>
      <w:r w:rsidR="00FF409A">
        <w:rPr>
          <w:color w:val="000000"/>
        </w:rPr>
        <w:t>approach</w:t>
      </w:r>
      <w:r w:rsidR="000702A9">
        <w:rPr>
          <w:color w:val="000000"/>
        </w:rPr>
        <w:t xml:space="preserve">, </w:t>
      </w:r>
      <w:r w:rsidR="00FF409A">
        <w:rPr>
          <w:color w:val="000000"/>
        </w:rPr>
        <w:t>such as weighted averages, stacking, or hierarchical forecast reconciliation</w:t>
      </w:r>
      <w:r>
        <w:rPr>
          <w:color w:val="000000"/>
        </w:rPr>
        <w:t xml:space="preserve"> alongside Naïve modeling</w:t>
      </w:r>
      <w:r w:rsidR="000702A9">
        <w:rPr>
          <w:color w:val="000000"/>
        </w:rPr>
        <w:t xml:space="preserve">, </w:t>
      </w:r>
      <w:r w:rsidR="00FF409A">
        <w:rPr>
          <w:color w:val="000000"/>
        </w:rPr>
        <w:t>to reduce model risk and deliver more robust predictions.</w:t>
      </w:r>
    </w:p>
    <w:sectPr w:rsidR="00F54A63" w:rsidRPr="00FF409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51C68" w14:textId="77777777" w:rsidR="00361A5F" w:rsidRDefault="00361A5F" w:rsidP="00760783">
      <w:pPr>
        <w:spacing w:after="0" w:line="240" w:lineRule="auto"/>
      </w:pPr>
      <w:r>
        <w:separator/>
      </w:r>
    </w:p>
  </w:endnote>
  <w:endnote w:type="continuationSeparator" w:id="0">
    <w:p w14:paraId="0C3B1AD5" w14:textId="77777777" w:rsidR="00361A5F" w:rsidRDefault="00361A5F" w:rsidP="00760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ACF9A" w14:textId="77777777" w:rsidR="00361A5F" w:rsidRDefault="00361A5F" w:rsidP="00760783">
      <w:pPr>
        <w:spacing w:after="0" w:line="240" w:lineRule="auto"/>
      </w:pPr>
      <w:r>
        <w:separator/>
      </w:r>
    </w:p>
  </w:footnote>
  <w:footnote w:type="continuationSeparator" w:id="0">
    <w:p w14:paraId="7335BC33" w14:textId="77777777" w:rsidR="00361A5F" w:rsidRDefault="00361A5F" w:rsidP="00760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DFEBA" w14:textId="30A509CF" w:rsidR="00760783" w:rsidRPr="00760783" w:rsidRDefault="00760783">
    <w:pPr>
      <w:pStyle w:val="Header"/>
      <w:rPr>
        <w:rFonts w:ascii="Times New Roman" w:hAnsi="Times New Roman" w:cs="Times New Roman"/>
      </w:rPr>
    </w:pPr>
    <w:r w:rsidRPr="00760783">
      <w:rPr>
        <w:rFonts w:ascii="Times New Roman" w:hAnsi="Times New Roman" w:cs="Times New Roman"/>
      </w:rPr>
      <w:t>Dhruvi Patel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777B"/>
    <w:multiLevelType w:val="multilevel"/>
    <w:tmpl w:val="00D2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C3FBD"/>
    <w:multiLevelType w:val="multilevel"/>
    <w:tmpl w:val="CEF4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C15AB"/>
    <w:multiLevelType w:val="multilevel"/>
    <w:tmpl w:val="EEDC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84C80"/>
    <w:multiLevelType w:val="hybridMultilevel"/>
    <w:tmpl w:val="2218762E"/>
    <w:lvl w:ilvl="0" w:tplc="CDB2D4F4">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BE435C"/>
    <w:multiLevelType w:val="multilevel"/>
    <w:tmpl w:val="B5B2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F7B72"/>
    <w:multiLevelType w:val="multilevel"/>
    <w:tmpl w:val="45C2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01FD9"/>
    <w:multiLevelType w:val="hybridMultilevel"/>
    <w:tmpl w:val="08AE3CB6"/>
    <w:lvl w:ilvl="0" w:tplc="61A6A4FE">
      <w:start w:val="1"/>
      <w:numFmt w:val="bullet"/>
      <w:lvlText w:val="§"/>
      <w:lvlJc w:val="left"/>
      <w:pPr>
        <w:tabs>
          <w:tab w:val="num" w:pos="720"/>
        </w:tabs>
        <w:ind w:left="720" w:hanging="360"/>
      </w:pPr>
      <w:rPr>
        <w:rFonts w:ascii="Wingdings" w:hAnsi="Wingdings" w:hint="default"/>
      </w:rPr>
    </w:lvl>
    <w:lvl w:ilvl="1" w:tplc="505893FC">
      <w:start w:val="1"/>
      <w:numFmt w:val="bullet"/>
      <w:lvlText w:val="§"/>
      <w:lvlJc w:val="left"/>
      <w:pPr>
        <w:tabs>
          <w:tab w:val="num" w:pos="1440"/>
        </w:tabs>
        <w:ind w:left="1440" w:hanging="360"/>
      </w:pPr>
      <w:rPr>
        <w:rFonts w:ascii="Wingdings" w:hAnsi="Wingdings" w:hint="default"/>
      </w:rPr>
    </w:lvl>
    <w:lvl w:ilvl="2" w:tplc="B018F78E" w:tentative="1">
      <w:start w:val="1"/>
      <w:numFmt w:val="bullet"/>
      <w:lvlText w:val="§"/>
      <w:lvlJc w:val="left"/>
      <w:pPr>
        <w:tabs>
          <w:tab w:val="num" w:pos="2160"/>
        </w:tabs>
        <w:ind w:left="2160" w:hanging="360"/>
      </w:pPr>
      <w:rPr>
        <w:rFonts w:ascii="Wingdings" w:hAnsi="Wingdings" w:hint="default"/>
      </w:rPr>
    </w:lvl>
    <w:lvl w:ilvl="3" w:tplc="8A66F548" w:tentative="1">
      <w:start w:val="1"/>
      <w:numFmt w:val="bullet"/>
      <w:lvlText w:val="§"/>
      <w:lvlJc w:val="left"/>
      <w:pPr>
        <w:tabs>
          <w:tab w:val="num" w:pos="2880"/>
        </w:tabs>
        <w:ind w:left="2880" w:hanging="360"/>
      </w:pPr>
      <w:rPr>
        <w:rFonts w:ascii="Wingdings" w:hAnsi="Wingdings" w:hint="default"/>
      </w:rPr>
    </w:lvl>
    <w:lvl w:ilvl="4" w:tplc="80A021C4" w:tentative="1">
      <w:start w:val="1"/>
      <w:numFmt w:val="bullet"/>
      <w:lvlText w:val="§"/>
      <w:lvlJc w:val="left"/>
      <w:pPr>
        <w:tabs>
          <w:tab w:val="num" w:pos="3600"/>
        </w:tabs>
        <w:ind w:left="3600" w:hanging="360"/>
      </w:pPr>
      <w:rPr>
        <w:rFonts w:ascii="Wingdings" w:hAnsi="Wingdings" w:hint="default"/>
      </w:rPr>
    </w:lvl>
    <w:lvl w:ilvl="5" w:tplc="E17A83AC" w:tentative="1">
      <w:start w:val="1"/>
      <w:numFmt w:val="bullet"/>
      <w:lvlText w:val="§"/>
      <w:lvlJc w:val="left"/>
      <w:pPr>
        <w:tabs>
          <w:tab w:val="num" w:pos="4320"/>
        </w:tabs>
        <w:ind w:left="4320" w:hanging="360"/>
      </w:pPr>
      <w:rPr>
        <w:rFonts w:ascii="Wingdings" w:hAnsi="Wingdings" w:hint="default"/>
      </w:rPr>
    </w:lvl>
    <w:lvl w:ilvl="6" w:tplc="FD22CFA8" w:tentative="1">
      <w:start w:val="1"/>
      <w:numFmt w:val="bullet"/>
      <w:lvlText w:val="§"/>
      <w:lvlJc w:val="left"/>
      <w:pPr>
        <w:tabs>
          <w:tab w:val="num" w:pos="5040"/>
        </w:tabs>
        <w:ind w:left="5040" w:hanging="360"/>
      </w:pPr>
      <w:rPr>
        <w:rFonts w:ascii="Wingdings" w:hAnsi="Wingdings" w:hint="default"/>
      </w:rPr>
    </w:lvl>
    <w:lvl w:ilvl="7" w:tplc="F56CD9AC" w:tentative="1">
      <w:start w:val="1"/>
      <w:numFmt w:val="bullet"/>
      <w:lvlText w:val="§"/>
      <w:lvlJc w:val="left"/>
      <w:pPr>
        <w:tabs>
          <w:tab w:val="num" w:pos="5760"/>
        </w:tabs>
        <w:ind w:left="5760" w:hanging="360"/>
      </w:pPr>
      <w:rPr>
        <w:rFonts w:ascii="Wingdings" w:hAnsi="Wingdings" w:hint="default"/>
      </w:rPr>
    </w:lvl>
    <w:lvl w:ilvl="8" w:tplc="2266036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6D0B34"/>
    <w:multiLevelType w:val="multilevel"/>
    <w:tmpl w:val="E688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26667"/>
    <w:multiLevelType w:val="multilevel"/>
    <w:tmpl w:val="9566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C4222"/>
    <w:multiLevelType w:val="multilevel"/>
    <w:tmpl w:val="99F0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E7FC6"/>
    <w:multiLevelType w:val="hybridMultilevel"/>
    <w:tmpl w:val="2296411E"/>
    <w:lvl w:ilvl="0" w:tplc="A126BA22">
      <w:start w:val="1"/>
      <w:numFmt w:val="bullet"/>
      <w:lvlText w:val="•"/>
      <w:lvlJc w:val="left"/>
      <w:pPr>
        <w:tabs>
          <w:tab w:val="num" w:pos="720"/>
        </w:tabs>
        <w:ind w:left="720" w:hanging="360"/>
      </w:pPr>
      <w:rPr>
        <w:rFonts w:ascii="Arial" w:hAnsi="Arial" w:hint="default"/>
      </w:rPr>
    </w:lvl>
    <w:lvl w:ilvl="1" w:tplc="414667B0" w:tentative="1">
      <w:start w:val="1"/>
      <w:numFmt w:val="bullet"/>
      <w:lvlText w:val="•"/>
      <w:lvlJc w:val="left"/>
      <w:pPr>
        <w:tabs>
          <w:tab w:val="num" w:pos="1440"/>
        </w:tabs>
        <w:ind w:left="1440" w:hanging="360"/>
      </w:pPr>
      <w:rPr>
        <w:rFonts w:ascii="Arial" w:hAnsi="Arial" w:hint="default"/>
      </w:rPr>
    </w:lvl>
    <w:lvl w:ilvl="2" w:tplc="5DA053BE" w:tentative="1">
      <w:start w:val="1"/>
      <w:numFmt w:val="bullet"/>
      <w:lvlText w:val="•"/>
      <w:lvlJc w:val="left"/>
      <w:pPr>
        <w:tabs>
          <w:tab w:val="num" w:pos="2160"/>
        </w:tabs>
        <w:ind w:left="2160" w:hanging="360"/>
      </w:pPr>
      <w:rPr>
        <w:rFonts w:ascii="Arial" w:hAnsi="Arial" w:hint="default"/>
      </w:rPr>
    </w:lvl>
    <w:lvl w:ilvl="3" w:tplc="1D8E49C0" w:tentative="1">
      <w:start w:val="1"/>
      <w:numFmt w:val="bullet"/>
      <w:lvlText w:val="•"/>
      <w:lvlJc w:val="left"/>
      <w:pPr>
        <w:tabs>
          <w:tab w:val="num" w:pos="2880"/>
        </w:tabs>
        <w:ind w:left="2880" w:hanging="360"/>
      </w:pPr>
      <w:rPr>
        <w:rFonts w:ascii="Arial" w:hAnsi="Arial" w:hint="default"/>
      </w:rPr>
    </w:lvl>
    <w:lvl w:ilvl="4" w:tplc="DD3610CC" w:tentative="1">
      <w:start w:val="1"/>
      <w:numFmt w:val="bullet"/>
      <w:lvlText w:val="•"/>
      <w:lvlJc w:val="left"/>
      <w:pPr>
        <w:tabs>
          <w:tab w:val="num" w:pos="3600"/>
        </w:tabs>
        <w:ind w:left="3600" w:hanging="360"/>
      </w:pPr>
      <w:rPr>
        <w:rFonts w:ascii="Arial" w:hAnsi="Arial" w:hint="default"/>
      </w:rPr>
    </w:lvl>
    <w:lvl w:ilvl="5" w:tplc="D3A886A4" w:tentative="1">
      <w:start w:val="1"/>
      <w:numFmt w:val="bullet"/>
      <w:lvlText w:val="•"/>
      <w:lvlJc w:val="left"/>
      <w:pPr>
        <w:tabs>
          <w:tab w:val="num" w:pos="4320"/>
        </w:tabs>
        <w:ind w:left="4320" w:hanging="360"/>
      </w:pPr>
      <w:rPr>
        <w:rFonts w:ascii="Arial" w:hAnsi="Arial" w:hint="default"/>
      </w:rPr>
    </w:lvl>
    <w:lvl w:ilvl="6" w:tplc="C19897F4" w:tentative="1">
      <w:start w:val="1"/>
      <w:numFmt w:val="bullet"/>
      <w:lvlText w:val="•"/>
      <w:lvlJc w:val="left"/>
      <w:pPr>
        <w:tabs>
          <w:tab w:val="num" w:pos="5040"/>
        </w:tabs>
        <w:ind w:left="5040" w:hanging="360"/>
      </w:pPr>
      <w:rPr>
        <w:rFonts w:ascii="Arial" w:hAnsi="Arial" w:hint="default"/>
      </w:rPr>
    </w:lvl>
    <w:lvl w:ilvl="7" w:tplc="F99201A0" w:tentative="1">
      <w:start w:val="1"/>
      <w:numFmt w:val="bullet"/>
      <w:lvlText w:val="•"/>
      <w:lvlJc w:val="left"/>
      <w:pPr>
        <w:tabs>
          <w:tab w:val="num" w:pos="5760"/>
        </w:tabs>
        <w:ind w:left="5760" w:hanging="360"/>
      </w:pPr>
      <w:rPr>
        <w:rFonts w:ascii="Arial" w:hAnsi="Arial" w:hint="default"/>
      </w:rPr>
    </w:lvl>
    <w:lvl w:ilvl="8" w:tplc="9368990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3726616"/>
    <w:multiLevelType w:val="multilevel"/>
    <w:tmpl w:val="4B16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327DA"/>
    <w:multiLevelType w:val="multilevel"/>
    <w:tmpl w:val="39D0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006C6"/>
    <w:multiLevelType w:val="multilevel"/>
    <w:tmpl w:val="151E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C5EC6"/>
    <w:multiLevelType w:val="multilevel"/>
    <w:tmpl w:val="365A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24CD5"/>
    <w:multiLevelType w:val="multilevel"/>
    <w:tmpl w:val="981E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D52B8"/>
    <w:multiLevelType w:val="multilevel"/>
    <w:tmpl w:val="5082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063CB"/>
    <w:multiLevelType w:val="hybridMultilevel"/>
    <w:tmpl w:val="3F66A660"/>
    <w:lvl w:ilvl="0" w:tplc="5384574E">
      <w:start w:val="1"/>
      <w:numFmt w:val="bullet"/>
      <w:lvlText w:val="§"/>
      <w:lvlJc w:val="left"/>
      <w:pPr>
        <w:tabs>
          <w:tab w:val="num" w:pos="720"/>
        </w:tabs>
        <w:ind w:left="720" w:hanging="360"/>
      </w:pPr>
      <w:rPr>
        <w:rFonts w:ascii="Wingdings" w:hAnsi="Wingdings" w:hint="default"/>
      </w:rPr>
    </w:lvl>
    <w:lvl w:ilvl="1" w:tplc="DFC07306" w:tentative="1">
      <w:start w:val="1"/>
      <w:numFmt w:val="bullet"/>
      <w:lvlText w:val="§"/>
      <w:lvlJc w:val="left"/>
      <w:pPr>
        <w:tabs>
          <w:tab w:val="num" w:pos="1440"/>
        </w:tabs>
        <w:ind w:left="1440" w:hanging="360"/>
      </w:pPr>
      <w:rPr>
        <w:rFonts w:ascii="Wingdings" w:hAnsi="Wingdings" w:hint="default"/>
      </w:rPr>
    </w:lvl>
    <w:lvl w:ilvl="2" w:tplc="0C4050EC" w:tentative="1">
      <w:start w:val="1"/>
      <w:numFmt w:val="bullet"/>
      <w:lvlText w:val="§"/>
      <w:lvlJc w:val="left"/>
      <w:pPr>
        <w:tabs>
          <w:tab w:val="num" w:pos="2160"/>
        </w:tabs>
        <w:ind w:left="2160" w:hanging="360"/>
      </w:pPr>
      <w:rPr>
        <w:rFonts w:ascii="Wingdings" w:hAnsi="Wingdings" w:hint="default"/>
      </w:rPr>
    </w:lvl>
    <w:lvl w:ilvl="3" w:tplc="F8767CEA" w:tentative="1">
      <w:start w:val="1"/>
      <w:numFmt w:val="bullet"/>
      <w:lvlText w:val="§"/>
      <w:lvlJc w:val="left"/>
      <w:pPr>
        <w:tabs>
          <w:tab w:val="num" w:pos="2880"/>
        </w:tabs>
        <w:ind w:left="2880" w:hanging="360"/>
      </w:pPr>
      <w:rPr>
        <w:rFonts w:ascii="Wingdings" w:hAnsi="Wingdings" w:hint="default"/>
      </w:rPr>
    </w:lvl>
    <w:lvl w:ilvl="4" w:tplc="A014AC22" w:tentative="1">
      <w:start w:val="1"/>
      <w:numFmt w:val="bullet"/>
      <w:lvlText w:val="§"/>
      <w:lvlJc w:val="left"/>
      <w:pPr>
        <w:tabs>
          <w:tab w:val="num" w:pos="3600"/>
        </w:tabs>
        <w:ind w:left="3600" w:hanging="360"/>
      </w:pPr>
      <w:rPr>
        <w:rFonts w:ascii="Wingdings" w:hAnsi="Wingdings" w:hint="default"/>
      </w:rPr>
    </w:lvl>
    <w:lvl w:ilvl="5" w:tplc="2312B9C0" w:tentative="1">
      <w:start w:val="1"/>
      <w:numFmt w:val="bullet"/>
      <w:lvlText w:val="§"/>
      <w:lvlJc w:val="left"/>
      <w:pPr>
        <w:tabs>
          <w:tab w:val="num" w:pos="4320"/>
        </w:tabs>
        <w:ind w:left="4320" w:hanging="360"/>
      </w:pPr>
      <w:rPr>
        <w:rFonts w:ascii="Wingdings" w:hAnsi="Wingdings" w:hint="default"/>
      </w:rPr>
    </w:lvl>
    <w:lvl w:ilvl="6" w:tplc="6F0820B6" w:tentative="1">
      <w:start w:val="1"/>
      <w:numFmt w:val="bullet"/>
      <w:lvlText w:val="§"/>
      <w:lvlJc w:val="left"/>
      <w:pPr>
        <w:tabs>
          <w:tab w:val="num" w:pos="5040"/>
        </w:tabs>
        <w:ind w:left="5040" w:hanging="360"/>
      </w:pPr>
      <w:rPr>
        <w:rFonts w:ascii="Wingdings" w:hAnsi="Wingdings" w:hint="default"/>
      </w:rPr>
    </w:lvl>
    <w:lvl w:ilvl="7" w:tplc="4E241A3C" w:tentative="1">
      <w:start w:val="1"/>
      <w:numFmt w:val="bullet"/>
      <w:lvlText w:val="§"/>
      <w:lvlJc w:val="left"/>
      <w:pPr>
        <w:tabs>
          <w:tab w:val="num" w:pos="5760"/>
        </w:tabs>
        <w:ind w:left="5760" w:hanging="360"/>
      </w:pPr>
      <w:rPr>
        <w:rFonts w:ascii="Wingdings" w:hAnsi="Wingdings" w:hint="default"/>
      </w:rPr>
    </w:lvl>
    <w:lvl w:ilvl="8" w:tplc="E5822B5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BD34BA"/>
    <w:multiLevelType w:val="multilevel"/>
    <w:tmpl w:val="FA62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0B45C4"/>
    <w:multiLevelType w:val="multilevel"/>
    <w:tmpl w:val="4866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DC056F"/>
    <w:multiLevelType w:val="multilevel"/>
    <w:tmpl w:val="D08AC35C"/>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DA40A6"/>
    <w:multiLevelType w:val="multilevel"/>
    <w:tmpl w:val="BD4A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665EEB"/>
    <w:multiLevelType w:val="multilevel"/>
    <w:tmpl w:val="451A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6C4F8D"/>
    <w:multiLevelType w:val="multilevel"/>
    <w:tmpl w:val="4A36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577120">
    <w:abstractNumId w:val="8"/>
  </w:num>
  <w:num w:numId="2" w16cid:durableId="995033632">
    <w:abstractNumId w:val="22"/>
  </w:num>
  <w:num w:numId="3" w16cid:durableId="442383577">
    <w:abstractNumId w:val="9"/>
  </w:num>
  <w:num w:numId="4" w16cid:durableId="1874149211">
    <w:abstractNumId w:val="4"/>
  </w:num>
  <w:num w:numId="5" w16cid:durableId="1230118322">
    <w:abstractNumId w:val="18"/>
  </w:num>
  <w:num w:numId="6" w16cid:durableId="1720860227">
    <w:abstractNumId w:val="21"/>
  </w:num>
  <w:num w:numId="7" w16cid:durableId="2095083924">
    <w:abstractNumId w:val="20"/>
  </w:num>
  <w:num w:numId="8" w16cid:durableId="361563925">
    <w:abstractNumId w:val="5"/>
  </w:num>
  <w:num w:numId="9" w16cid:durableId="353548">
    <w:abstractNumId w:val="6"/>
  </w:num>
  <w:num w:numId="10" w16cid:durableId="1443497037">
    <w:abstractNumId w:val="19"/>
  </w:num>
  <w:num w:numId="11" w16cid:durableId="1060592786">
    <w:abstractNumId w:val="15"/>
  </w:num>
  <w:num w:numId="12" w16cid:durableId="930697729">
    <w:abstractNumId w:val="0"/>
  </w:num>
  <w:num w:numId="13" w16cid:durableId="311566975">
    <w:abstractNumId w:val="16"/>
  </w:num>
  <w:num w:numId="14" w16cid:durableId="596914139">
    <w:abstractNumId w:val="1"/>
  </w:num>
  <w:num w:numId="15" w16cid:durableId="1387332695">
    <w:abstractNumId w:val="12"/>
  </w:num>
  <w:num w:numId="16" w16cid:durableId="1733388836">
    <w:abstractNumId w:val="11"/>
  </w:num>
  <w:num w:numId="17" w16cid:durableId="1204752575">
    <w:abstractNumId w:val="14"/>
  </w:num>
  <w:num w:numId="18" w16cid:durableId="292030751">
    <w:abstractNumId w:val="7"/>
  </w:num>
  <w:num w:numId="19" w16cid:durableId="796028329">
    <w:abstractNumId w:val="2"/>
  </w:num>
  <w:num w:numId="20" w16cid:durableId="2014183786">
    <w:abstractNumId w:val="13"/>
  </w:num>
  <w:num w:numId="21" w16cid:durableId="2090544036">
    <w:abstractNumId w:val="23"/>
  </w:num>
  <w:num w:numId="22" w16cid:durableId="555894803">
    <w:abstractNumId w:val="10"/>
  </w:num>
  <w:num w:numId="23" w16cid:durableId="849218708">
    <w:abstractNumId w:val="17"/>
  </w:num>
  <w:num w:numId="24" w16cid:durableId="14507848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C4B"/>
    <w:rsid w:val="00031891"/>
    <w:rsid w:val="000702A9"/>
    <w:rsid w:val="000B6858"/>
    <w:rsid w:val="000C4C4F"/>
    <w:rsid w:val="000F3323"/>
    <w:rsid w:val="001211A1"/>
    <w:rsid w:val="001566A4"/>
    <w:rsid w:val="00174C4B"/>
    <w:rsid w:val="00182910"/>
    <w:rsid w:val="00361A5F"/>
    <w:rsid w:val="00426D2E"/>
    <w:rsid w:val="00446686"/>
    <w:rsid w:val="00487AD4"/>
    <w:rsid w:val="006339EF"/>
    <w:rsid w:val="00706CFE"/>
    <w:rsid w:val="00760783"/>
    <w:rsid w:val="007C3C84"/>
    <w:rsid w:val="00831FFC"/>
    <w:rsid w:val="00877B33"/>
    <w:rsid w:val="00887500"/>
    <w:rsid w:val="00954C46"/>
    <w:rsid w:val="00984AE5"/>
    <w:rsid w:val="00A50EDC"/>
    <w:rsid w:val="00A62C11"/>
    <w:rsid w:val="00AC4C01"/>
    <w:rsid w:val="00AD14D8"/>
    <w:rsid w:val="00AD70C2"/>
    <w:rsid w:val="00B31624"/>
    <w:rsid w:val="00B470F4"/>
    <w:rsid w:val="00BA0B00"/>
    <w:rsid w:val="00BA1909"/>
    <w:rsid w:val="00BD683B"/>
    <w:rsid w:val="00CA740C"/>
    <w:rsid w:val="00DA3859"/>
    <w:rsid w:val="00DA4F54"/>
    <w:rsid w:val="00E1593A"/>
    <w:rsid w:val="00E31AD9"/>
    <w:rsid w:val="00ED2C89"/>
    <w:rsid w:val="00F12064"/>
    <w:rsid w:val="00F21B50"/>
    <w:rsid w:val="00F37DF4"/>
    <w:rsid w:val="00F54A63"/>
    <w:rsid w:val="00FF08D9"/>
    <w:rsid w:val="00FF4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75F9E"/>
  <w15:chartTrackingRefBased/>
  <w15:docId w15:val="{B04D796A-F65D-D04D-B30D-6C8E7DBF3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4D8"/>
  </w:style>
  <w:style w:type="paragraph" w:styleId="Heading1">
    <w:name w:val="heading 1"/>
    <w:basedOn w:val="Normal"/>
    <w:next w:val="Normal"/>
    <w:link w:val="Heading1Char"/>
    <w:uiPriority w:val="9"/>
    <w:qFormat/>
    <w:rsid w:val="00174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4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4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4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4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C4B"/>
    <w:rPr>
      <w:rFonts w:eastAsiaTheme="majorEastAsia" w:cstheme="majorBidi"/>
      <w:color w:val="272727" w:themeColor="text1" w:themeTint="D8"/>
    </w:rPr>
  </w:style>
  <w:style w:type="paragraph" w:styleId="Title">
    <w:name w:val="Title"/>
    <w:basedOn w:val="Normal"/>
    <w:next w:val="Normal"/>
    <w:link w:val="TitleChar"/>
    <w:uiPriority w:val="10"/>
    <w:qFormat/>
    <w:rsid w:val="00174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C4B"/>
    <w:pPr>
      <w:spacing w:before="160"/>
      <w:jc w:val="center"/>
    </w:pPr>
    <w:rPr>
      <w:i/>
      <w:iCs/>
      <w:color w:val="404040" w:themeColor="text1" w:themeTint="BF"/>
    </w:rPr>
  </w:style>
  <w:style w:type="character" w:customStyle="1" w:styleId="QuoteChar">
    <w:name w:val="Quote Char"/>
    <w:basedOn w:val="DefaultParagraphFont"/>
    <w:link w:val="Quote"/>
    <w:uiPriority w:val="29"/>
    <w:rsid w:val="00174C4B"/>
    <w:rPr>
      <w:i/>
      <w:iCs/>
      <w:color w:val="404040" w:themeColor="text1" w:themeTint="BF"/>
    </w:rPr>
  </w:style>
  <w:style w:type="paragraph" w:styleId="ListParagraph">
    <w:name w:val="List Paragraph"/>
    <w:basedOn w:val="Normal"/>
    <w:uiPriority w:val="34"/>
    <w:qFormat/>
    <w:rsid w:val="00174C4B"/>
    <w:pPr>
      <w:ind w:left="720"/>
      <w:contextualSpacing/>
    </w:pPr>
  </w:style>
  <w:style w:type="character" w:styleId="IntenseEmphasis">
    <w:name w:val="Intense Emphasis"/>
    <w:basedOn w:val="DefaultParagraphFont"/>
    <w:uiPriority w:val="21"/>
    <w:qFormat/>
    <w:rsid w:val="00174C4B"/>
    <w:rPr>
      <w:i/>
      <w:iCs/>
      <w:color w:val="0F4761" w:themeColor="accent1" w:themeShade="BF"/>
    </w:rPr>
  </w:style>
  <w:style w:type="paragraph" w:styleId="IntenseQuote">
    <w:name w:val="Intense Quote"/>
    <w:basedOn w:val="Normal"/>
    <w:next w:val="Normal"/>
    <w:link w:val="IntenseQuoteChar"/>
    <w:uiPriority w:val="30"/>
    <w:qFormat/>
    <w:rsid w:val="00174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C4B"/>
    <w:rPr>
      <w:i/>
      <w:iCs/>
      <w:color w:val="0F4761" w:themeColor="accent1" w:themeShade="BF"/>
    </w:rPr>
  </w:style>
  <w:style w:type="character" w:styleId="IntenseReference">
    <w:name w:val="Intense Reference"/>
    <w:basedOn w:val="DefaultParagraphFont"/>
    <w:uiPriority w:val="32"/>
    <w:qFormat/>
    <w:rsid w:val="00174C4B"/>
    <w:rPr>
      <w:b/>
      <w:bCs/>
      <w:smallCaps/>
      <w:color w:val="0F4761" w:themeColor="accent1" w:themeShade="BF"/>
      <w:spacing w:val="5"/>
    </w:rPr>
  </w:style>
  <w:style w:type="paragraph" w:styleId="NormalWeb">
    <w:name w:val="Normal (Web)"/>
    <w:basedOn w:val="Normal"/>
    <w:uiPriority w:val="99"/>
    <w:unhideWhenUsed/>
    <w:rsid w:val="00174C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74C4B"/>
  </w:style>
  <w:style w:type="character" w:styleId="Strong">
    <w:name w:val="Strong"/>
    <w:basedOn w:val="DefaultParagraphFont"/>
    <w:uiPriority w:val="22"/>
    <w:qFormat/>
    <w:rsid w:val="00174C4B"/>
    <w:rPr>
      <w:b/>
      <w:bCs/>
    </w:rPr>
  </w:style>
  <w:style w:type="paragraph" w:styleId="Revision">
    <w:name w:val="Revision"/>
    <w:hidden/>
    <w:uiPriority w:val="99"/>
    <w:semiHidden/>
    <w:rsid w:val="00AD14D8"/>
    <w:pPr>
      <w:spacing w:after="0" w:line="240" w:lineRule="auto"/>
    </w:pPr>
  </w:style>
  <w:style w:type="character" w:styleId="Emphasis">
    <w:name w:val="Emphasis"/>
    <w:basedOn w:val="DefaultParagraphFont"/>
    <w:uiPriority w:val="20"/>
    <w:qFormat/>
    <w:rsid w:val="00FF08D9"/>
    <w:rPr>
      <w:i/>
      <w:iCs/>
    </w:rPr>
  </w:style>
  <w:style w:type="paragraph" w:styleId="Header">
    <w:name w:val="header"/>
    <w:basedOn w:val="Normal"/>
    <w:link w:val="HeaderChar"/>
    <w:uiPriority w:val="99"/>
    <w:unhideWhenUsed/>
    <w:rsid w:val="007607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783"/>
  </w:style>
  <w:style w:type="paragraph" w:styleId="Footer">
    <w:name w:val="footer"/>
    <w:basedOn w:val="Normal"/>
    <w:link w:val="FooterChar"/>
    <w:uiPriority w:val="99"/>
    <w:unhideWhenUsed/>
    <w:rsid w:val="007607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 Patel</dc:creator>
  <cp:keywords/>
  <dc:description/>
  <cp:lastModifiedBy>Dhruvi Patel</cp:lastModifiedBy>
  <cp:revision>14</cp:revision>
  <dcterms:created xsi:type="dcterms:W3CDTF">2025-11-24T03:49:00Z</dcterms:created>
  <dcterms:modified xsi:type="dcterms:W3CDTF">2025-11-24T22:07:00Z</dcterms:modified>
</cp:coreProperties>
</file>