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200"/>
        <w:jc w:val="center"/>
      </w:pPr>
      <w:r>
        <w:rPr>
          <w:rFonts w:ascii="Arial" w:cs="Arial" w:eastAsia="Arial" w:hAnsi="Arial"/>
          <w:b/>
          <w:bCs/>
          <w:color w:val="1F4E79"/>
          <w:sz w:val="56"/>
          <w:szCs w:val="56"/>
        </w:rPr>
        <w:t xml:space="preserve">AI for Architecture</w:t>
      </w:r>
    </w:p>
    <w:p>
      <w:pPr>
        <w:spacing w:after="120"/>
        <w:jc w:val="center"/>
      </w:pPr>
      <w:r>
        <w:rPr>
          <w:rFonts w:ascii="Arial" w:cs="Arial" w:eastAsia="Arial" w:hAnsi="Arial"/>
          <w:color w:val="2E75B6"/>
          <w:sz w:val="28"/>
          <w:szCs w:val="28"/>
        </w:rPr>
        <w:t xml:space="preserve">Smart Plot Development Optimization System</w:t>
      </w:r>
    </w:p>
    <w:p>
      <w:pPr>
        <w:pBdr>
          <w:bottom w:val="single" w:color="2E75B6" w:sz="8" w:space="1"/>
        </w:pBdr>
        <w:spacing w:after="500"/>
        <w:jc w:val="center"/>
      </w:pPr>
      <w:r>
        <w:t xml:space="preserve"/>
      </w:r>
    </w:p>
    <w:p>
      <w:pPr>
        <w:spacing w:after="0" w:before="300"/>
      </w:pPr>
      <w:r>
        <w:t xml:space="preserve"/>
      </w:r>
    </w:p>
    <w:p>
      <w:pPr>
        <w:spacing w:after="200"/>
        <w:jc w:val="center"/>
      </w:pPr>
      <w:r>
        <w:rPr>
          <w:rFonts w:ascii="Arial" w:cs="Arial" w:eastAsia="Arial" w:hAnsi="Arial"/>
          <w:b/>
          <w:bCs/>
          <w:color w:val="1A1A1A"/>
          <w:sz w:val="32"/>
          <w:szCs w:val="32"/>
        </w:rPr>
        <w:t xml:space="preserve">PROJECT PROGRESS REPORT</w:t>
      </w:r>
    </w:p>
    <w:p>
      <w:pPr>
        <w:spacing w:after="0" w:before="60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single" w:color="DDDDDD" w:sz="4"/>
              <w:left w:val="single" w:color="DDDDDD" w:sz="4"/>
              <w:bottom w:val="single" w:color="DDDDDD" w:sz="4"/>
              <w:right w:val="single" w:color="DDDDDD" w:sz="4"/>
            </w:tcBorders>
            <w:shd w:fill="F2F2F2" w:val="clear"/>
            <w:tcMar>
              <w:top w:type="dxa" w:w="100"/>
              <w:left w:type="dxa" w:w="150"/>
              <w:bottom w:type="dxa" w:w="100"/>
              <w:right w:type="dxa" w:w="150"/>
            </w:tcMar>
          </w:tcPr>
          <w:p>
            <w:r>
              <w:rPr>
                <w:rFonts w:ascii="Arial" w:cs="Arial" w:eastAsia="Arial" w:hAnsi="Arial"/>
                <w:b/>
                <w:bCs/>
                <w:sz w:val="20"/>
                <w:szCs w:val="20"/>
              </w:rPr>
              <w:t xml:space="preserve">Date</w:t>
            </w:r>
          </w:p>
        </w:tc>
        <w:tc>
          <w:tcPr>
            <w:tcW w:type="dxa" w:w="3000"/>
            <w:tcBorders>
              <w:top w:val="single" w:color="DDDDDD" w:sz="4"/>
              <w:left w:val="single" w:color="DDDDDD" w:sz="4"/>
              <w:bottom w:val="single" w:color="DDDDDD" w:sz="4"/>
              <w:right w:val="single" w:color="DDDDDD" w:sz="4"/>
            </w:tcBorders>
            <w:tcMar>
              <w:top w:type="dxa" w:w="100"/>
              <w:left w:type="dxa" w:w="150"/>
              <w:bottom w:type="dxa" w:w="100"/>
              <w:right w:type="dxa" w:w="150"/>
            </w:tcMar>
          </w:tcPr>
          <w:p>
            <w:r>
              <w:rPr>
                <w:rFonts w:ascii="Arial" w:cs="Arial" w:eastAsia="Arial" w:hAnsi="Arial"/>
                <w:sz w:val="20"/>
                <w:szCs w:val="20"/>
              </w:rPr>
              <w:t xml:space="preserve">March 2026</w:t>
            </w:r>
          </w:p>
        </w:tc>
      </w:tr>
      <w:tr>
        <w:tc>
          <w:tcPr>
            <w:tcW w:type="dxa" w:w="2400"/>
            <w:tcBorders>
              <w:top w:val="single" w:color="DDDDDD" w:sz="4"/>
              <w:left w:val="single" w:color="DDDDDD" w:sz="4"/>
              <w:bottom w:val="single" w:color="DDDDDD" w:sz="4"/>
              <w:right w:val="single" w:color="DDDDDD" w:sz="4"/>
            </w:tcBorders>
            <w:shd w:fill="F2F2F2" w:val="clear"/>
            <w:tcMar>
              <w:top w:type="dxa" w:w="100"/>
              <w:left w:type="dxa" w:w="150"/>
              <w:bottom w:type="dxa" w:w="100"/>
              <w:right w:type="dxa" w:w="150"/>
            </w:tcMar>
          </w:tcPr>
          <w:p>
            <w:r>
              <w:rPr>
                <w:rFonts w:ascii="Arial" w:cs="Arial" w:eastAsia="Arial" w:hAnsi="Arial"/>
                <w:b/>
                <w:bCs/>
                <w:sz w:val="20"/>
                <w:szCs w:val="20"/>
              </w:rPr>
              <w:t xml:space="preserve">Version</w:t>
            </w:r>
          </w:p>
        </w:tc>
        <w:tc>
          <w:tcPr>
            <w:tcW w:type="dxa" w:w="3000"/>
            <w:tcBorders>
              <w:top w:val="single" w:color="DDDDDD" w:sz="4"/>
              <w:left w:val="single" w:color="DDDDDD" w:sz="4"/>
              <w:bottom w:val="single" w:color="DDDDDD" w:sz="4"/>
              <w:right w:val="single" w:color="DDDDDD" w:sz="4"/>
            </w:tcBorders>
            <w:tcMar>
              <w:top w:type="dxa" w:w="100"/>
              <w:left w:type="dxa" w:w="150"/>
              <w:bottom w:type="dxa" w:w="100"/>
              <w:right w:type="dxa" w:w="150"/>
            </w:tcMar>
          </w:tcPr>
          <w:p>
            <w:r>
              <w:rPr>
                <w:rFonts w:ascii="Arial" w:cs="Arial" w:eastAsia="Arial" w:hAnsi="Arial"/>
                <w:sz w:val="20"/>
                <w:szCs w:val="20"/>
              </w:rPr>
              <w:t xml:space="preserve">v5.0</w:t>
            </w:r>
          </w:p>
        </w:tc>
      </w:tr>
      <w:tr>
        <w:tc>
          <w:tcPr>
            <w:tcW w:type="dxa" w:w="2400"/>
            <w:tcBorders>
              <w:top w:val="single" w:color="DDDDDD" w:sz="4"/>
              <w:left w:val="single" w:color="DDDDDD" w:sz="4"/>
              <w:bottom w:val="single" w:color="DDDDDD" w:sz="4"/>
              <w:right w:val="single" w:color="DDDDDD" w:sz="4"/>
            </w:tcBorders>
            <w:shd w:fill="F2F2F2" w:val="clear"/>
            <w:tcMar>
              <w:top w:type="dxa" w:w="100"/>
              <w:left w:type="dxa" w:w="150"/>
              <w:bottom w:type="dxa" w:w="100"/>
              <w:right w:type="dxa" w:w="150"/>
            </w:tcMar>
          </w:tcPr>
          <w:p>
            <w:r>
              <w:rPr>
                <w:rFonts w:ascii="Arial" w:cs="Arial" w:eastAsia="Arial" w:hAnsi="Arial"/>
                <w:b/>
                <w:bCs/>
                <w:sz w:val="20"/>
                <w:szCs w:val="20"/>
              </w:rPr>
              <w:t xml:space="preserve">Status</w:t>
            </w:r>
          </w:p>
        </w:tc>
        <w:tc>
          <w:tcPr>
            <w:tcW w:type="dxa" w:w="3000"/>
            <w:tcBorders>
              <w:top w:val="single" w:color="DDDDDD" w:sz="4"/>
              <w:left w:val="single" w:color="DDDDDD" w:sz="4"/>
              <w:bottom w:val="single" w:color="DDDDDD" w:sz="4"/>
              <w:right w:val="single" w:color="DDDDDD" w:sz="4"/>
            </w:tcBorders>
            <w:tcMar>
              <w:top w:type="dxa" w:w="100"/>
              <w:left w:type="dxa" w:w="150"/>
              <w:bottom w:type="dxa" w:w="100"/>
              <w:right w:type="dxa" w:w="150"/>
            </w:tcMar>
          </w:tcPr>
          <w:p>
            <w:r>
              <w:rPr>
                <w:rFonts w:ascii="Arial" w:cs="Arial" w:eastAsia="Arial" w:hAnsi="Arial"/>
                <w:sz w:val="20"/>
                <w:szCs w:val="20"/>
              </w:rPr>
              <w:t xml:space="preserve">In Active Development</w:t>
            </w:r>
          </w:p>
        </w:tc>
      </w:tr>
      <w:tr>
        <w:tc>
          <w:tcPr>
            <w:tcW w:type="dxa" w:w="2400"/>
            <w:tcBorders>
              <w:top w:val="single" w:color="DDDDDD" w:sz="4"/>
              <w:left w:val="single" w:color="DDDDDD" w:sz="4"/>
              <w:bottom w:val="single" w:color="DDDDDD" w:sz="4"/>
              <w:right w:val="single" w:color="DDDDDD" w:sz="4"/>
            </w:tcBorders>
            <w:shd w:fill="F2F2F2" w:val="clear"/>
            <w:tcMar>
              <w:top w:type="dxa" w:w="100"/>
              <w:left w:type="dxa" w:w="150"/>
              <w:bottom w:type="dxa" w:w="100"/>
              <w:right w:type="dxa" w:w="150"/>
            </w:tcMar>
          </w:tcPr>
          <w:p>
            <w:r>
              <w:rPr>
                <w:rFonts w:ascii="Arial" w:cs="Arial" w:eastAsia="Arial" w:hAnsi="Arial"/>
                <w:b/>
                <w:bCs/>
                <w:sz w:val="20"/>
                <w:szCs w:val="20"/>
              </w:rPr>
              <w:t xml:space="preserve">Dataset</w:t>
            </w:r>
          </w:p>
        </w:tc>
        <w:tc>
          <w:tcPr>
            <w:tcW w:type="dxa" w:w="3000"/>
            <w:tcBorders>
              <w:top w:val="single" w:color="DDDDDD" w:sz="4"/>
              <w:left w:val="single" w:color="DDDDDD" w:sz="4"/>
              <w:bottom w:val="single" w:color="DDDDDD" w:sz="4"/>
              <w:right w:val="single" w:color="DDDDDD" w:sz="4"/>
            </w:tcBorders>
            <w:tcMar>
              <w:top w:type="dxa" w:w="100"/>
              <w:left w:type="dxa" w:w="150"/>
              <w:bottom w:type="dxa" w:w="100"/>
              <w:right w:type="dxa" w:w="150"/>
            </w:tcMar>
          </w:tcPr>
          <w:p>
            <w:r>
              <w:rPr>
                <w:rFonts w:ascii="Arial" w:cs="Arial" w:eastAsia="Arial" w:hAnsi="Arial"/>
                <w:sz w:val="20"/>
                <w:szCs w:val="20"/>
              </w:rPr>
              <w:t xml:space="preserve">TP14 - 175 Real Plots (Gujarat)</w:t>
            </w:r>
          </w:p>
        </w:tc>
      </w:tr>
      <w:tr>
        <w:tc>
          <w:tcPr>
            <w:tcW w:type="dxa" w:w="2400"/>
            <w:tcBorders>
              <w:top w:val="single" w:color="DDDDDD" w:sz="4"/>
              <w:left w:val="single" w:color="DDDDDD" w:sz="4"/>
              <w:bottom w:val="single" w:color="DDDDDD" w:sz="4"/>
              <w:right w:val="single" w:color="DDDDDD" w:sz="4"/>
            </w:tcBorders>
            <w:shd w:fill="F2F2F2" w:val="clear"/>
            <w:tcMar>
              <w:top w:type="dxa" w:w="100"/>
              <w:left w:type="dxa" w:w="150"/>
              <w:bottom w:type="dxa" w:w="100"/>
              <w:right w:type="dxa" w:w="150"/>
            </w:tcMar>
          </w:tcPr>
          <w:p>
            <w:r>
              <w:rPr>
                <w:rFonts w:ascii="Arial" w:cs="Arial" w:eastAsia="Arial" w:hAnsi="Arial"/>
                <w:b/>
                <w:bCs/>
                <w:sz w:val="20"/>
                <w:szCs w:val="20"/>
              </w:rPr>
              <w:t xml:space="preserve">Prepared For</w:t>
            </w:r>
          </w:p>
        </w:tc>
        <w:tc>
          <w:tcPr>
            <w:tcW w:type="dxa" w:w="3000"/>
            <w:tcBorders>
              <w:top w:val="single" w:color="DDDDDD" w:sz="4"/>
              <w:left w:val="single" w:color="DDDDDD" w:sz="4"/>
              <w:bottom w:val="single" w:color="DDDDDD" w:sz="4"/>
              <w:right w:val="single" w:color="DDDDDD" w:sz="4"/>
            </w:tcBorders>
            <w:tcMar>
              <w:top w:type="dxa" w:w="100"/>
              <w:left w:type="dxa" w:w="150"/>
              <w:bottom w:type="dxa" w:w="100"/>
              <w:right w:type="dxa" w:w="150"/>
            </w:tcMar>
          </w:tcPr>
          <w:p>
            <w:r>
              <w:rPr>
                <w:rFonts w:ascii="Arial" w:cs="Arial" w:eastAsia="Arial" w:hAnsi="Arial"/>
                <w:sz w:val="20"/>
                <w:szCs w:val="20"/>
              </w:rPr>
              <w:t xml:space="preserve">Client Review</w:t>
            </w:r>
          </w:p>
        </w:tc>
      </w:tr>
    </w:tbl>
    <w:p>
      <w:pPr>
        <w:spacing w:after="0" w:before="1000"/>
      </w:pPr>
      <w:r>
        <w:t xml:space="preserve"/>
      </w:r>
    </w:p>
    <w:p>
      <w:pPr>
        <w:jc w:val="center"/>
      </w:pPr>
      <w:r>
        <w:rPr>
          <w:rFonts w:ascii="Arial" w:cs="Arial" w:eastAsia="Arial" w:hAnsi="Arial"/>
          <w:i/>
          <w:iCs/>
          <w:color w:val="999999"/>
          <w:sz w:val="18"/>
          <w:szCs w:val="18"/>
        </w:rPr>
        <w:t xml:space="preserve">CONFIDENTIAL - For Client Review Only</w:t>
      </w:r>
    </w:p>
    <w:p>
      <w:pPr>
        <w:sectPr>
          <w:pgSz w:w="11906" w:h="16838" w:orient="portrait"/>
          <w:pgMar w:top="1134" w:right="1134" w:bottom="1134" w:left="1134" w:header="708" w:footer="708" w:gutter="0"/>
          <w:pgNumType/>
          <w:docGrid w:linePitch="360"/>
        </w:sectPr>
      </w:pPr>
    </w:p>
    <w:p>
      <w:pPr>
        <w:pStyle w:val="Heading1"/>
        <w:spacing w:after="240" w:before="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rPr>
        <w:t xml:space="preserve">1. Project Overview</w:t>
      </w:r>
    </w:p>
    <w:p>
      <w:pPr>
        <w:pBdr>
          <w:bottom w:val="single" w:color="2E75B6" w:sz="6" w:space="1"/>
        </w:pBdr>
        <w:spacing w:after="160" w:before="160"/>
      </w:pPr>
      <w:r>
        <w:t xml:space="preserve"/>
      </w:r>
    </w:p>
    <w:p>
      <w:pPr>
        <w:spacing w:after="120"/>
      </w:pPr>
      <w:r>
        <w:rPr>
          <w:rFonts w:ascii="Arial" w:cs="Arial" w:eastAsia="Arial" w:hAnsi="Arial"/>
          <w:b w:val="false"/>
          <w:bCs w:val="false"/>
          <w:i w:val="false"/>
          <w:iCs w:val="false"/>
          <w:color w:val="1A1A1A"/>
          <w:sz w:val="20"/>
          <w:szCs w:val="20"/>
        </w:rPr>
        <w:t xml:space="preserve">This system is an AI-powered architectural planning tool designed for residential plot development in Gujarat, India. When a plot of land is provided, the system automatically calculates the best possible building design - including how tall it can be, how many floors, how to arrange apartments - while strictly following GDCR (Gujarat Development Control Regulations) and NBC (National Building Code) requirements.</w:t>
      </w:r>
    </w:p>
    <w:p>
      <w:pPr>
        <w:spacing w:after="0" w:before="100"/>
      </w:pPr>
      <w:r>
        <w:t xml:space="preserve"/>
      </w:r>
    </w:p>
    <w:p>
      <w:pPr>
        <w:spacing w:after="120"/>
      </w:pPr>
      <w:r>
        <w:rPr>
          <w:rFonts w:ascii="Arial" w:cs="Arial" w:eastAsia="Arial" w:hAnsi="Arial"/>
          <w:b/>
          <w:bCs/>
          <w:i w:val="false"/>
          <w:iCs w:val="false"/>
          <w:color w:val="1A1A1A"/>
          <w:sz w:val="20"/>
          <w:szCs w:val="20"/>
        </w:rPr>
        <w:t xml:space="preserve">Why does this matter?</w:t>
      </w:r>
    </w:p>
    <w:p>
      <w:pPr>
        <w:pStyle w:val="ListParagraph"/>
        <w:numPr>
          <w:ilvl w:val="0"/>
          <w:numId w:val="2"/>
        </w:numPr>
        <w:spacing w:after="80"/>
      </w:pPr>
      <w:r>
        <w:rPr>
          <w:rFonts w:ascii="Arial" w:cs="Arial" w:eastAsia="Arial" w:hAnsi="Arial"/>
          <w:color w:val="1A1A1A"/>
          <w:sz w:val="20"/>
          <w:szCs w:val="20"/>
        </w:rPr>
        <w:t xml:space="preserve">Manual feasibility calculations by architects typically take several days per plot.</w:t>
      </w:r>
    </w:p>
    <w:p>
      <w:pPr>
        <w:pStyle w:val="ListParagraph"/>
        <w:numPr>
          <w:ilvl w:val="0"/>
          <w:numId w:val="2"/>
        </w:numPr>
        <w:spacing w:after="80"/>
      </w:pPr>
      <w:r>
        <w:rPr>
          <w:rFonts w:ascii="Arial" w:cs="Arial" w:eastAsia="Arial" w:hAnsi="Arial"/>
          <w:color w:val="1A1A1A"/>
          <w:sz w:val="20"/>
          <w:szCs w:val="20"/>
        </w:rPr>
        <w:t xml:space="preserve">This system processes a complete development plan in minutes.</w:t>
      </w:r>
    </w:p>
    <w:p>
      <w:pPr>
        <w:pStyle w:val="ListParagraph"/>
        <w:numPr>
          <w:ilvl w:val="0"/>
          <w:numId w:val="2"/>
        </w:numPr>
        <w:spacing w:after="80"/>
      </w:pPr>
      <w:r>
        <w:rPr>
          <w:rFonts w:ascii="Arial" w:cs="Arial" w:eastAsia="Arial" w:hAnsi="Arial"/>
          <w:color w:val="1A1A1A"/>
          <w:sz w:val="20"/>
          <w:szCs w:val="20"/>
        </w:rPr>
        <w:t xml:space="preserve">It can analyse hundreds of plots simultaneously and produce consistent, regulation-compliant results.</w:t>
      </w:r>
    </w:p>
    <w:p>
      <w:pPr>
        <w:pStyle w:val="ListParagraph"/>
        <w:numPr>
          <w:ilvl w:val="0"/>
          <w:numId w:val="2"/>
        </w:numPr>
        <w:spacing w:after="80"/>
      </w:pPr>
      <w:r>
        <w:rPr>
          <w:rFonts w:ascii="Arial" w:cs="Arial" w:eastAsia="Arial" w:hAnsi="Arial"/>
          <w:color w:val="1A1A1A"/>
          <w:sz w:val="20"/>
          <w:szCs w:val="20"/>
        </w:rPr>
        <w:t xml:space="preserve">It eliminates human error in setback calculations, FSI computation and core sizing.</w:t>
      </w:r>
    </w:p>
    <w:p>
      <w:pPr>
        <w:spacing w:after="0" w:before="160"/>
      </w:pPr>
      <w:r>
        <w:t xml:space="preserve"/>
      </w:r>
    </w:p>
    <w:p>
      <w:pPr>
        <w:pStyle w:val="Heading3"/>
        <w:spacing w:after="100" w:before="200"/>
      </w:pPr>
      <w:r>
        <w:rPr>
          <w:rFonts w:ascii="Arial" w:cs="Arial" w:eastAsia="Arial" w:hAnsi="Arial"/>
        </w:rPr>
        <w:t xml:space="preserve">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none" w:color="FFFFFF" w:sz="0"/>
              <w:left w:val="none" w:color="FFFFFF" w:sz="0"/>
              <w:bottom w:val="none" w:color="FFFFFF" w:sz="0"/>
              <w:right w:val="none" w:color="FFFFFF" w:sz="0"/>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Backend</w:t>
            </w:r>
          </w:p>
        </w:tc>
        <w:tc>
          <w:tcPr>
            <w:tcW w:type="dxa" w:w="7238"/>
            <w:tcBorders>
              <w:top w:val="none" w:color="FFFFFF" w:sz="0"/>
              <w:left w:val="none" w:color="FFFFFF" w:sz="0"/>
              <w:bottom w:val="none" w:color="FFFFFF" w:sz="0"/>
              <w:right w:val="none" w:color="FFFFFF" w:sz="0"/>
            </w:tcBorders>
            <w:shd w:fill="D6E4F0" w:val="clear"/>
            <w:tcMar>
              <w:top w:type="dxa" w:w="100"/>
              <w:left w:type="dxa" w:w="150"/>
              <w:bottom w:type="dxa" w:w="100"/>
              <w:right w:type="dxa" w:w="150"/>
            </w:tcMar>
          </w:tcPr>
          <w:p>
            <w:r>
              <w:rPr>
                <w:rFonts w:ascii="Arial" w:cs="Arial" w:eastAsia="Arial" w:hAnsi="Arial"/>
                <w:color w:val="1A1A1A"/>
                <w:sz w:val="20"/>
                <w:szCs w:val="20"/>
              </w:rPr>
              <w:t xml:space="preserve">Django (Python) - handles all calculation logic, regulation checks and data storage</w:t>
            </w:r>
          </w:p>
        </w:tc>
      </w:tr>
      <w:tr>
        <w:tc>
          <w:tcPr>
            <w:tcW w:type="dxa" w:w="2400"/>
            <w:tcBorders>
              <w:top w:val="none" w:color="FFFFFF" w:sz="0"/>
              <w:left w:val="none" w:color="FFFFFF" w:sz="0"/>
              <w:bottom w:val="none" w:color="FFFFFF" w:sz="0"/>
              <w:right w:val="none" w:color="FFFFFF" w:sz="0"/>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Frontend</w:t>
            </w:r>
          </w:p>
        </w:tc>
        <w:tc>
          <w:tcPr>
            <w:tcW w:type="dxa" w:w="7238"/>
            <w:tcBorders>
              <w:top w:val="none" w:color="FFFFFF" w:sz="0"/>
              <w:left w:val="none" w:color="FFFFFF" w:sz="0"/>
              <w:bottom w:val="none" w:color="FFFFFF" w:sz="0"/>
              <w:right w:val="none" w:color="FFFFFF" w:sz="0"/>
            </w:tcBorders>
            <w:shd w:fill="D6E4F0" w:val="clear"/>
            <w:tcMar>
              <w:top w:type="dxa" w:w="100"/>
              <w:left w:type="dxa" w:w="150"/>
              <w:bottom w:type="dxa" w:w="100"/>
              <w:right w:type="dxa" w:w="150"/>
            </w:tcMar>
          </w:tcPr>
          <w:p>
            <w:r>
              <w:rPr>
                <w:rFonts w:ascii="Arial" w:cs="Arial" w:eastAsia="Arial" w:hAnsi="Arial"/>
                <w:color w:val="1A1A1A"/>
                <w:sz w:val="20"/>
                <w:szCs w:val="20"/>
              </w:rPr>
              <w:t xml:space="preserve">Next.js (React) - the interactive web application architects use</w:t>
            </w:r>
          </w:p>
        </w:tc>
      </w:tr>
      <w:tr>
        <w:tc>
          <w:tcPr>
            <w:tcW w:type="dxa" w:w="2400"/>
            <w:tcBorders>
              <w:top w:val="none" w:color="FFFFFF" w:sz="0"/>
              <w:left w:val="none" w:color="FFFFFF" w:sz="0"/>
              <w:bottom w:val="none" w:color="FFFFFF" w:sz="0"/>
              <w:right w:val="none" w:color="FFFFFF" w:sz="0"/>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Database</w:t>
            </w:r>
          </w:p>
        </w:tc>
        <w:tc>
          <w:tcPr>
            <w:tcW w:type="dxa" w:w="7238"/>
            <w:tcBorders>
              <w:top w:val="none" w:color="FFFFFF" w:sz="0"/>
              <w:left w:val="none" w:color="FFFFFF" w:sz="0"/>
              <w:bottom w:val="none" w:color="FFFFFF" w:sz="0"/>
              <w:right w:val="none" w:color="FFFFFF" w:sz="0"/>
            </w:tcBorders>
            <w:shd w:fill="D6E4F0" w:val="clear"/>
            <w:tcMar>
              <w:top w:type="dxa" w:w="100"/>
              <w:left w:type="dxa" w:w="150"/>
              <w:bottom w:type="dxa" w:w="100"/>
              <w:right w:type="dxa" w:w="150"/>
            </w:tcMar>
          </w:tcPr>
          <w:p>
            <w:r>
              <w:rPr>
                <w:rFonts w:ascii="Arial" w:cs="Arial" w:eastAsia="Arial" w:hAnsi="Arial"/>
                <w:color w:val="1A1A1A"/>
                <w:sz w:val="20"/>
                <w:szCs w:val="20"/>
              </w:rPr>
              <w:t xml:space="preserve">PostgreSQL with PostGIS - stores all plot geometry and spatial data</w:t>
            </w:r>
          </w:p>
        </w:tc>
      </w:tr>
      <w:tr>
        <w:tc>
          <w:tcPr>
            <w:tcW w:type="dxa" w:w="2400"/>
            <w:tcBorders>
              <w:top w:val="none" w:color="FFFFFF" w:sz="0"/>
              <w:left w:val="none" w:color="FFFFFF" w:sz="0"/>
              <w:bottom w:val="none" w:color="FFFFFF" w:sz="0"/>
              <w:right w:val="none" w:color="FFFFFF" w:sz="0"/>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Regulation File</w:t>
            </w:r>
          </w:p>
        </w:tc>
        <w:tc>
          <w:tcPr>
            <w:tcW w:type="dxa" w:w="7238"/>
            <w:tcBorders>
              <w:top w:val="none" w:color="FFFFFF" w:sz="0"/>
              <w:left w:val="none" w:color="FFFFFF" w:sz="0"/>
              <w:bottom w:val="none" w:color="FFFFFF" w:sz="0"/>
              <w:right w:val="none" w:color="FFFFFF" w:sz="0"/>
            </w:tcBorders>
            <w:shd w:fill="D6E4F0" w:val="clear"/>
            <w:tcMar>
              <w:top w:type="dxa" w:w="100"/>
              <w:left w:type="dxa" w:w="150"/>
              <w:bottom w:type="dxa" w:w="100"/>
              <w:right w:type="dxa" w:w="150"/>
            </w:tcMar>
          </w:tcPr>
          <w:p>
            <w:r>
              <w:rPr>
                <w:rFonts w:ascii="Arial" w:cs="Arial" w:eastAsia="Arial" w:hAnsi="Arial"/>
                <w:color w:val="1A1A1A"/>
                <w:sz w:val="20"/>
                <w:szCs w:val="20"/>
              </w:rPr>
              <w:t xml:space="preserve">GDCR.yaml - a machine-readable version of all applicable Gujarat development rules</w:t>
            </w:r>
          </w:p>
        </w:tc>
      </w:tr>
    </w:tbl>
    <w:p>
      <w:pPr>
        <w:spacing w:after="0" w:before="200"/>
      </w:pPr>
      <w:r>
        <w:t xml:space="preserve"/>
      </w:r>
    </w:p>
    <w:p>
      <w:r>
        <w:br w:type="page"/>
      </w:r>
    </w:p>
    <w:p>
      <w:pPr>
        <w:pStyle w:val="Heading1"/>
        <w:spacing w:after="160" w:before="360"/>
      </w:pPr>
      <w:r>
        <w:rPr>
          <w:rFonts w:ascii="Arial" w:cs="Arial" w:eastAsia="Arial" w:hAnsi="Arial"/>
        </w:rPr>
        <w:t xml:space="preserve">2. Backend - Server-Side Processing</w:t>
      </w:r>
    </w:p>
    <w:p>
      <w:pPr>
        <w:pBdr>
          <w:bottom w:val="single" w:color="2E75B6" w:sz="6" w:space="1"/>
        </w:pBdr>
        <w:spacing w:after="160" w:before="160"/>
      </w:pPr>
      <w:r>
        <w:t xml:space="preserve"/>
      </w:r>
    </w:p>
    <w:p>
      <w:pPr>
        <w:spacing w:after="120"/>
      </w:pPr>
      <w:r>
        <w:rPr>
          <w:rFonts w:ascii="Arial" w:cs="Arial" w:eastAsia="Arial" w:hAnsi="Arial"/>
          <w:b w:val="false"/>
          <w:bCs w:val="false"/>
          <w:i w:val="false"/>
          <w:iCs w:val="false"/>
          <w:color w:val="1A1A1A"/>
          <w:sz w:val="20"/>
          <w:szCs w:val="20"/>
        </w:rPr>
        <w:t xml:space="preserve">The backend is the core engine of the system. It receives a plot, runs it through a 7-step pipeline, and returns a fully optimised, regulation-compliant development proposal. Each step is automated - no manual input is required between steps.</w:t>
      </w:r>
    </w:p>
    <w:p>
      <w:pPr>
        <w:spacing w:after="0" w:before="160"/>
      </w:pPr>
      <w:r>
        <w:t xml:space="preserve"/>
      </w:r>
    </w:p>
    <w:p>
      <w:pPr>
        <w:pStyle w:val="Heading2"/>
        <w:spacing w:after="120" w:before="280"/>
      </w:pPr>
      <w:r>
        <w:rPr>
          <w:rFonts w:ascii="Arial" w:cs="Arial" w:eastAsia="Arial" w:hAnsi="Arial"/>
        </w:rPr>
        <w:t xml:space="preserve">2.1 Core Processing Pipeline</w:t>
      </w:r>
    </w:p>
    <w:p>
      <w:pPr>
        <w:spacing w:after="120"/>
      </w:pPr>
      <w:r>
        <w:rPr>
          <w:rFonts w:ascii="Arial" w:cs="Arial" w:eastAsia="Arial" w:hAnsi="Arial"/>
          <w:b w:val="false"/>
          <w:bCs w:val="false"/>
          <w:i w:val="false"/>
          <w:iCs w:val="false"/>
          <w:color w:val="1A1A1A"/>
          <w:sz w:val="20"/>
          <w:szCs w:val="20"/>
        </w:rPr>
        <w:t xml:space="preserve">Every plot goes through the following seven steps in sequence:</w:t>
      </w:r>
    </w:p>
    <w:p>
      <w:pPr>
        <w:spacing w:after="0" w:before="120"/>
      </w:pPr>
      <w:r>
        <w:t xml:space="preserve"/>
      </w:r>
    </w:p>
    <w:tbl>
      <w:tblPr>
        <w:tblW w:type="dxa" w:w="9569"/>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369"/>
      </w:tblGrid>
      <w:tr>
        <w:tc>
          <w:tcPr>
            <w:tcW w:type="dxa" w:w="1800"/>
            <w:tcBorders>
              <w:top w:val="single" w:color="CCCCCC" w:sz="4"/>
              <w:left w:val="single" w:color="CCCCCC" w:sz="4"/>
              <w:bottom w:val="single" w:color="CCCCCC" w:sz="4"/>
              <w:right w:val="single" w:color="CCCCCC" w:sz="4"/>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Step</w:t>
            </w:r>
          </w:p>
        </w:tc>
        <w:tc>
          <w:tcPr>
            <w:tcW w:type="dxa" w:w="2400"/>
            <w:tcBorders>
              <w:top w:val="single" w:color="CCCCCC" w:sz="4"/>
              <w:left w:val="single" w:color="CCCCCC" w:sz="4"/>
              <w:bottom w:val="single" w:color="CCCCCC" w:sz="4"/>
              <w:right w:val="single" w:color="CCCCCC" w:sz="4"/>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Engine</w:t>
            </w:r>
          </w:p>
        </w:tc>
        <w:tc>
          <w:tcPr>
            <w:tcW w:type="dxa" w:w="5369"/>
            <w:tcBorders>
              <w:top w:val="single" w:color="CCCCCC" w:sz="4"/>
              <w:left w:val="single" w:color="CCCCCC" w:sz="4"/>
              <w:bottom w:val="single" w:color="CCCCCC" w:sz="4"/>
              <w:right w:val="single" w:color="CCCCCC" w:sz="4"/>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What It Does</w:t>
            </w:r>
          </w:p>
        </w:tc>
      </w:tr>
      <w:tr>
        <w:tc>
          <w:tcPr>
            <w:tcW w:type="dxa" w:w="18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1 - Plot Input</w:t>
            </w:r>
          </w:p>
        </w:tc>
        <w:tc>
          <w:tcPr>
            <w:tcW w:type="dxa" w:w="24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TP Ingestion</w:t>
            </w:r>
          </w:p>
        </w:tc>
        <w:tc>
          <w:tcPr>
            <w:tcW w:type="dxa" w:w="5369"/>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Reads DXF plot files; stores shape, area, road width, TP scheme and plot number in the database.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2 - Envelope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Envelope Engine</w:t>
            </w:r>
          </w:p>
        </w:tc>
        <w:tc>
          <w:tcPr>
            <w:tcW w:type="dxa" w:w="5369"/>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Computes the buildable zone after applying government setbacks (road + side + rear margins per GDCR Table 6.24 / 6.26).</w:t>
            </w:r>
          </w:p>
        </w:tc>
      </w:tr>
      <w:tr>
        <w:tc>
          <w:tcPr>
            <w:tcW w:type="dxa" w:w="18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3 - Tower Placement</w:t>
            </w:r>
          </w:p>
        </w:tc>
        <w:tc>
          <w:tcPr>
            <w:tcW w:type="dxa" w:w="24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Placement Engine</w:t>
            </w:r>
          </w:p>
        </w:tc>
        <w:tc>
          <w:tcPr>
            <w:tcW w:type="dxa" w:w="5369"/>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Fits rectangular building footprints inside the buildable zone. Tests row, column and diagonal packing across 7 rotation angles.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4 - Core Design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Floor Skeleton Engine</w:t>
            </w:r>
          </w:p>
        </w:tc>
        <w:tc>
          <w:tcPr>
            <w:tcW w:type="dxa" w:w="5369"/>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Designs staircase, lift and corridors per NBC rules (lift above 10 m, second staircase above 15 m). Outputs End Core / Single / Double Loaded patterns.</w:t>
            </w:r>
          </w:p>
        </w:tc>
      </w:tr>
      <w:tr>
        <w:tc>
          <w:tcPr>
            <w:tcW w:type="dxa" w:w="18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5 - Apartment Layout</w:t>
            </w:r>
          </w:p>
        </w:tc>
        <w:tc>
          <w:tcPr>
            <w:tcW w:type="dxa" w:w="24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Residential Layout Engine</w:t>
            </w:r>
          </w:p>
        </w:tc>
        <w:tc>
          <w:tcPr>
            <w:tcW w:type="dxa" w:w="5369"/>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Arranges 1BHK, 2BHK and 3BHK apartments on each floor, including balconies, ventilation shafts and corridors.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6 - Optimisation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Architecture Optimizer</w:t>
            </w:r>
          </w:p>
        </w:tc>
        <w:tc>
          <w:tcPr>
            <w:tcW w:type="dxa" w:w="5369"/>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Tests 1-, 2- and 3-tower configurations; picks the one with the highest compliant FSI (up to 4.0 with premium government schemes).</w:t>
            </w:r>
          </w:p>
        </w:tc>
      </w:tr>
      <w:tr>
        <w:tc>
          <w:tcPr>
            <w:tcW w:type="dxa" w:w="18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7 - Compliance</w:t>
            </w:r>
          </w:p>
        </w:tc>
        <w:tc>
          <w:tcPr>
            <w:tcW w:type="dxa" w:w="24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Rules Engine</w:t>
            </w:r>
          </w:p>
        </w:tc>
        <w:tc>
          <w:tcPr>
            <w:tcW w:type="dxa" w:w="5369"/>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Checks the final plan against 20+ GDCR and NBC rules. Each rule returns PASS or FAIL with a reason.</w:t>
            </w:r>
          </w:p>
        </w:tc>
      </w:tr>
    </w:tbl>
    <w:p>
      <w:pPr>
        <w:spacing w:after="0" w:before="240"/>
      </w:pPr>
      <w:r>
        <w:t xml:space="preserve"/>
      </w:r>
    </w:p>
    <w:p>
      <w:pPr>
        <w:pStyle w:val="Heading2"/>
        <w:spacing w:after="120" w:before="280"/>
      </w:pPr>
      <w:r>
        <w:rPr>
          <w:rFonts w:ascii="Arial" w:cs="Arial" w:eastAsia="Arial" w:hAnsi="Arial"/>
        </w:rPr>
        <w:t xml:space="preserve">2.2 How Each Step Works in Detail</w:t>
      </w:r>
    </w:p>
    <w:p>
      <w:pPr>
        <w:pStyle w:val="Heading3"/>
        <w:spacing w:after="100" w:before="200"/>
      </w:pPr>
      <w:r>
        <w:rPr>
          <w:rFonts w:ascii="Arial" w:cs="Arial" w:eastAsia="Arial" w:hAnsi="Arial"/>
        </w:rPr>
        <w:t xml:space="preserve">Step 1 - Plot Input</w:t>
      </w:r>
    </w:p>
    <w:p>
      <w:pPr>
        <w:pStyle w:val="ListParagraph"/>
        <w:numPr>
          <w:ilvl w:val="0"/>
          <w:numId w:val="2"/>
        </w:numPr>
        <w:spacing w:after="80"/>
      </w:pPr>
      <w:r>
        <w:rPr>
          <w:rFonts w:ascii="Arial" w:cs="Arial" w:eastAsia="Arial" w:hAnsi="Arial"/>
          <w:color w:val="1A1A1A"/>
          <w:sz w:val="20"/>
          <w:szCs w:val="20"/>
        </w:rPr>
        <w:t xml:space="preserve">Plot shapes are imported from DXF files - the standard CAD format used by architects and surveyors across India.</w:t>
      </w:r>
    </w:p>
    <w:p>
      <w:pPr>
        <w:pStyle w:val="ListParagraph"/>
        <w:numPr>
          <w:ilvl w:val="0"/>
          <w:numId w:val="2"/>
        </w:numPr>
        <w:spacing w:after="80"/>
      </w:pPr>
      <w:r>
        <w:rPr>
          <w:rFonts w:ascii="Arial" w:cs="Arial" w:eastAsia="Arial" w:hAnsi="Arial"/>
          <w:color w:val="1A1A1A"/>
          <w:sz w:val="20"/>
          <w:szCs w:val="20"/>
        </w:rPr>
        <w:t xml:space="preserve">The system stores each plot's exact polygon shape, total area (sq.ft), frontage, depth, road width, TP scheme number and individual plot number.</w:t>
      </w:r>
    </w:p>
    <w:p>
      <w:pPr>
        <w:pStyle w:val="ListParagraph"/>
        <w:numPr>
          <w:ilvl w:val="0"/>
          <w:numId w:val="2"/>
        </w:numPr>
        <w:spacing w:after="80"/>
      </w:pPr>
      <w:r>
        <w:rPr>
          <w:rFonts w:ascii="Arial" w:cs="Arial" w:eastAsia="Arial" w:hAnsi="Arial"/>
          <w:color w:val="1A1A1A"/>
          <w:sz w:val="20"/>
          <w:szCs w:val="20"/>
        </w:rPr>
        <w:t xml:space="preserve">175 plots from TP14 (Town Planning Scheme No. 14) are already loaded and ready for analysis.</w:t>
      </w:r>
    </w:p>
    <w:p>
      <w:pPr>
        <w:spacing w:after="0" w:before="100"/>
      </w:pPr>
      <w:r>
        <w:t xml:space="preserve"/>
      </w:r>
    </w:p>
    <w:p>
      <w:pPr>
        <w:pStyle w:val="Heading3"/>
        <w:spacing w:after="100" w:before="200"/>
      </w:pPr>
      <w:r>
        <w:rPr>
          <w:rFonts w:ascii="Arial" w:cs="Arial" w:eastAsia="Arial" w:hAnsi="Arial"/>
        </w:rPr>
        <w:t xml:space="preserve">Step 2 - Building Envelope Calculation</w:t>
      </w:r>
    </w:p>
    <w:p>
      <w:pPr>
        <w:pStyle w:val="ListParagraph"/>
        <w:numPr>
          <w:ilvl w:val="0"/>
          <w:numId w:val="2"/>
        </w:numPr>
        <w:spacing w:after="80"/>
      </w:pPr>
      <w:r>
        <w:rPr>
          <w:rFonts w:ascii="Arial" w:cs="Arial" w:eastAsia="Arial" w:hAnsi="Arial"/>
          <w:color w:val="1A1A1A"/>
          <w:sz w:val="20"/>
          <w:szCs w:val="20"/>
        </w:rPr>
        <w:t xml:space="preserve">The system calculates the 'buildable zone' - the usable area remaining after applying mandatory government setback margins on all sides.</w:t>
      </w:r>
    </w:p>
    <w:p>
      <w:pPr>
        <w:pStyle w:val="ListParagraph"/>
        <w:numPr>
          <w:ilvl w:val="0"/>
          <w:numId w:val="2"/>
        </w:numPr>
        <w:spacing w:after="80"/>
      </w:pPr>
      <w:r>
        <w:rPr>
          <w:rFonts w:ascii="Arial" w:cs="Arial" w:eastAsia="Arial" w:hAnsi="Arial"/>
          <w:color w:val="1A1A1A"/>
          <w:sz w:val="20"/>
          <w:szCs w:val="20"/>
        </w:rPr>
        <w:t xml:space="preserve">Road-facing margins: 3.0 m for 12 m roads, 4.5 m for 18 m roads, 6.0 m for 30 m roads (GDCR Table 6.24).</w:t>
      </w:r>
    </w:p>
    <w:p>
      <w:pPr>
        <w:pStyle w:val="ListParagraph"/>
        <w:numPr>
          <w:ilvl w:val="0"/>
          <w:numId w:val="2"/>
        </w:numPr>
        <w:spacing w:after="80"/>
      </w:pPr>
      <w:r>
        <w:rPr>
          <w:rFonts w:ascii="Arial" w:cs="Arial" w:eastAsia="Arial" w:hAnsi="Arial"/>
          <w:color w:val="1A1A1A"/>
          <w:sz w:val="20"/>
          <w:szCs w:val="20"/>
        </w:rPr>
        <w:t xml:space="preserve">Side and rear margins depend on building height: 3.0 m for buildings up to 16.5 m; 4.0 m up to 25 m; 6.0 m up to 45 m (GDCR Table 6.26).</w:t>
      </w:r>
    </w:p>
    <w:p>
      <w:pPr>
        <w:pStyle w:val="ListParagraph"/>
        <w:numPr>
          <w:ilvl w:val="0"/>
          <w:numId w:val="2"/>
        </w:numPr>
        <w:spacing w:after="80"/>
      </w:pPr>
      <w:r>
        <w:rPr>
          <w:rFonts w:ascii="Arial" w:cs="Arial" w:eastAsia="Arial" w:hAnsi="Arial"/>
          <w:color w:val="1A1A1A"/>
          <w:sz w:val="20"/>
          <w:szCs w:val="20"/>
        </w:rPr>
        <w:t xml:space="preserve">Output: A precise polygon showing exactly where construction is legally permitted on the plot.</w:t>
      </w:r>
    </w:p>
    <w:p>
      <w:pPr>
        <w:spacing w:after="0" w:before="100"/>
      </w:pPr>
      <w:r>
        <w:t xml:space="preserve"/>
      </w:r>
    </w:p>
    <w:p>
      <w:pPr>
        <w:pStyle w:val="Heading3"/>
        <w:spacing w:after="100" w:before="200"/>
      </w:pPr>
      <w:r>
        <w:rPr>
          <w:rFonts w:ascii="Arial" w:cs="Arial" w:eastAsia="Arial" w:hAnsi="Arial"/>
        </w:rPr>
        <w:t xml:space="preserve">Step 3 - Tower Placement</w:t>
      </w:r>
    </w:p>
    <w:p>
      <w:pPr>
        <w:pStyle w:val="ListParagraph"/>
        <w:numPr>
          <w:ilvl w:val="0"/>
          <w:numId w:val="2"/>
        </w:numPr>
        <w:spacing w:after="80"/>
      </w:pPr>
      <w:r>
        <w:rPr>
          <w:rFonts w:ascii="Arial" w:cs="Arial" w:eastAsia="Arial" w:hAnsi="Arial"/>
          <w:color w:val="1A1A1A"/>
          <w:sz w:val="20"/>
          <w:szCs w:val="20"/>
        </w:rPr>
        <w:t xml:space="preserve">The system determines the most efficient way to place rectangular building footprints within the buildable zone.</w:t>
      </w:r>
    </w:p>
    <w:p>
      <w:pPr>
        <w:pStyle w:val="ListParagraph"/>
        <w:numPr>
          <w:ilvl w:val="0"/>
          <w:numId w:val="2"/>
        </w:numPr>
        <w:spacing w:after="80"/>
      </w:pPr>
      <w:r>
        <w:rPr>
          <w:rFonts w:ascii="Arial" w:cs="Arial" w:eastAsia="Arial" w:hAnsi="Arial"/>
          <w:color w:val="1A1A1A"/>
          <w:sz w:val="20"/>
          <w:szCs w:val="20"/>
        </w:rPr>
        <w:t xml:space="preserve">Three packing strategies are tested: Row-Wise (towers side by side), Column-Wise (towers front to back) and Diagonal (45-degree offset).</w:t>
      </w:r>
    </w:p>
    <w:p>
      <w:pPr>
        <w:pStyle w:val="ListParagraph"/>
        <w:numPr>
          <w:ilvl w:val="0"/>
          <w:numId w:val="2"/>
        </w:numPr>
        <w:spacing w:after="80"/>
      </w:pPr>
      <w:r>
        <w:rPr>
          <w:rFonts w:ascii="Arial" w:cs="Arial" w:eastAsia="Arial" w:hAnsi="Arial"/>
          <w:color w:val="1A1A1A"/>
          <w:sz w:val="20"/>
          <w:szCs w:val="20"/>
        </w:rPr>
        <w:t xml:space="preserve">Seven rotation angles (0 to 90 degrees in 15-degree steps) are swept to find the orientation that fits the largest possible footprint.</w:t>
      </w:r>
    </w:p>
    <w:p>
      <w:pPr>
        <w:pStyle w:val="ListParagraph"/>
        <w:numPr>
          <w:ilvl w:val="0"/>
          <w:numId w:val="2"/>
        </w:numPr>
        <w:spacing w:after="80"/>
      </w:pPr>
      <w:r>
        <w:rPr>
          <w:rFonts w:ascii="Arial" w:cs="Arial" w:eastAsia="Arial" w:hAnsi="Arial"/>
          <w:color w:val="1A1A1A"/>
          <w:sz w:val="20"/>
          <w:szCs w:val="20"/>
        </w:rPr>
        <w:t xml:space="preserve">This combination produced dramatic improvements - one test plot went from 41% envelope usage to 97%.</w:t>
      </w:r>
    </w:p>
    <w:p>
      <w:pPr>
        <w:spacing w:after="0" w:before="100"/>
      </w:pPr>
      <w:r>
        <w:t xml:space="preserve"/>
      </w:r>
    </w:p>
    <w:p>
      <w:pPr>
        <w:pStyle w:val="Heading3"/>
        <w:spacing w:after="100" w:before="200"/>
      </w:pPr>
      <w:r>
        <w:rPr>
          <w:rFonts w:ascii="Arial" w:cs="Arial" w:eastAsia="Arial" w:hAnsi="Arial"/>
        </w:rPr>
        <w:t xml:space="preserve">Step 4 - Building Core Design</w:t>
      </w:r>
    </w:p>
    <w:p>
      <w:pPr>
        <w:pStyle w:val="ListParagraph"/>
        <w:numPr>
          <w:ilvl w:val="0"/>
          <w:numId w:val="2"/>
        </w:numPr>
        <w:spacing w:after="80"/>
      </w:pPr>
      <w:r>
        <w:rPr>
          <w:rFonts w:ascii="Arial" w:cs="Arial" w:eastAsia="Arial" w:hAnsi="Arial"/>
          <w:color w:val="1A1A1A"/>
          <w:sz w:val="20"/>
          <w:szCs w:val="20"/>
        </w:rPr>
        <w:t xml:space="preserve">The system designs the building's central service core: staircases, lift shafts and corridor arrangements.</w:t>
      </w:r>
    </w:p>
    <w:p>
      <w:pPr>
        <w:pStyle w:val="ListParagraph"/>
        <w:numPr>
          <w:ilvl w:val="0"/>
          <w:numId w:val="2"/>
        </w:numPr>
        <w:spacing w:after="80"/>
      </w:pPr>
      <w:r>
        <w:rPr>
          <w:rFonts w:ascii="Arial" w:cs="Arial" w:eastAsia="Arial" w:hAnsi="Arial"/>
          <w:color w:val="1A1A1A"/>
          <w:sz w:val="20"/>
          <w:szCs w:val="20"/>
        </w:rPr>
        <w:t xml:space="preserve">Rules are applied automatically: a lift is required for any building taller than 10 m; a second staircase is required above 15 m (NBC).</w:t>
      </w:r>
    </w:p>
    <w:p>
      <w:pPr>
        <w:pStyle w:val="ListParagraph"/>
        <w:numPr>
          <w:ilvl w:val="0"/>
          <w:numId w:val="2"/>
        </w:numPr>
        <w:spacing w:after="80"/>
      </w:pPr>
      <w:r>
        <w:rPr>
          <w:rFonts w:ascii="Arial" w:cs="Arial" w:eastAsia="Arial" w:hAnsi="Arial"/>
          <w:color w:val="1A1A1A"/>
          <w:sz w:val="20"/>
          <w:szCs w:val="20"/>
        </w:rPr>
        <w:t xml:space="preserve">Three core patterns are supported: End Core (service block at one end), Single Loaded Corridor (units on one side) and Double Loaded Corridor (units on both sides).</w:t>
      </w:r>
    </w:p>
    <w:p>
      <w:pPr>
        <w:spacing w:after="0" w:before="100"/>
      </w:pPr>
      <w:r>
        <w:t xml:space="preserve"/>
      </w:r>
    </w:p>
    <w:p>
      <w:pPr>
        <w:pStyle w:val="Heading3"/>
        <w:spacing w:after="100" w:before="200"/>
      </w:pPr>
      <w:r>
        <w:rPr>
          <w:rFonts w:ascii="Arial" w:cs="Arial" w:eastAsia="Arial" w:hAnsi="Arial"/>
        </w:rPr>
        <w:t xml:space="preserve">Step 5 - Apartment Layout</w:t>
      </w:r>
    </w:p>
    <w:p>
      <w:pPr>
        <w:pStyle w:val="ListParagraph"/>
        <w:numPr>
          <w:ilvl w:val="0"/>
          <w:numId w:val="2"/>
        </w:numPr>
        <w:spacing w:after="80"/>
      </w:pPr>
      <w:r>
        <w:rPr>
          <w:rFonts w:ascii="Arial" w:cs="Arial" w:eastAsia="Arial" w:hAnsi="Arial"/>
          <w:color w:val="1A1A1A"/>
          <w:sz w:val="20"/>
          <w:szCs w:val="20"/>
        </w:rPr>
        <w:t xml:space="preserve">Based on the core design, apartments are arranged on each floor.</w:t>
      </w:r>
    </w:p>
    <w:p>
      <w:pPr>
        <w:pStyle w:val="ListParagraph"/>
        <w:numPr>
          <w:ilvl w:val="0"/>
          <w:numId w:val="2"/>
        </w:numPr>
        <w:spacing w:after="80"/>
      </w:pPr>
      <w:r>
        <w:rPr>
          <w:rFonts w:ascii="Arial" w:cs="Arial" w:eastAsia="Arial" w:hAnsi="Arial"/>
          <w:color w:val="1A1A1A"/>
          <w:sz w:val="20"/>
          <w:szCs w:val="20"/>
        </w:rPr>
        <w:t xml:space="preserve">Unit types supported: 1BHK, 2BHK and 3BHK.</w:t>
      </w:r>
    </w:p>
    <w:p>
      <w:pPr>
        <w:pStyle w:val="ListParagraph"/>
        <w:numPr>
          <w:ilvl w:val="0"/>
          <w:numId w:val="2"/>
        </w:numPr>
        <w:spacing w:after="80"/>
      </w:pPr>
      <w:r>
        <w:rPr>
          <w:rFonts w:ascii="Arial" w:cs="Arial" w:eastAsia="Arial" w:hAnsi="Arial"/>
          <w:color w:val="1A1A1A"/>
          <w:sz w:val="20"/>
          <w:szCs w:val="20"/>
        </w:rPr>
        <w:t xml:space="preserve">Each floor includes balconies, ventilation shafts and corridors positioned as per design and code requirements.</w:t>
      </w:r>
    </w:p>
    <w:p>
      <w:pPr>
        <w:spacing w:after="0" w:before="100"/>
      </w:pPr>
      <w:r>
        <w:t xml:space="preserve"/>
      </w:r>
    </w:p>
    <w:p>
      <w:pPr>
        <w:pStyle w:val="Heading3"/>
        <w:spacing w:after="100" w:before="200"/>
      </w:pPr>
      <w:r>
        <w:rPr>
          <w:rFonts w:ascii="Arial" w:cs="Arial" w:eastAsia="Arial" w:hAnsi="Arial"/>
        </w:rPr>
        <w:t xml:space="preserve">Step 6 - Optimisation and FSI Calculation</w:t>
      </w:r>
    </w:p>
    <w:p>
      <w:pPr>
        <w:pStyle w:val="ListParagraph"/>
        <w:numPr>
          <w:ilvl w:val="0"/>
          <w:numId w:val="2"/>
        </w:numPr>
        <w:spacing w:after="80"/>
      </w:pPr>
      <w:r>
        <w:rPr>
          <w:rFonts w:ascii="Arial" w:cs="Arial" w:eastAsia="Arial" w:hAnsi="Arial"/>
          <w:color w:val="1A1A1A"/>
          <w:sz w:val="20"/>
          <w:szCs w:val="20"/>
        </w:rPr>
        <w:t xml:space="preserve">FSI (Floor Space Index) is the ratio of total built area to plot area - the key metric for measuring development density.</w:t>
      </w:r>
    </w:p>
    <w:p>
      <w:pPr>
        <w:pStyle w:val="ListParagraph"/>
        <w:numPr>
          <w:ilvl w:val="0"/>
          <w:numId w:val="2"/>
        </w:numPr>
        <w:spacing w:after="80"/>
      </w:pPr>
      <w:r>
        <w:rPr>
          <w:rFonts w:ascii="Arial" w:cs="Arial" w:eastAsia="Arial" w:hAnsi="Arial"/>
          <w:color w:val="1A1A1A"/>
          <w:sz w:val="20"/>
          <w:szCs w:val="20"/>
        </w:rPr>
        <w:t xml:space="preserve">The system tests 1-tower, 2-tower and 3-tower configurations and picks the one that achieves the highest compliant FSI.</w:t>
      </w:r>
    </w:p>
    <w:p>
      <w:pPr>
        <w:pStyle w:val="ListParagraph"/>
        <w:numPr>
          <w:ilvl w:val="0"/>
          <w:numId w:val="2"/>
        </w:numPr>
        <w:spacing w:after="80"/>
      </w:pPr>
      <w:r>
        <w:rPr>
          <w:rFonts w:ascii="Arial" w:cs="Arial" w:eastAsia="Arial" w:hAnsi="Arial"/>
          <w:color w:val="1A1A1A"/>
          <w:sz w:val="20"/>
          <w:szCs w:val="20"/>
        </w:rPr>
        <w:t xml:space="preserve">Base FSI: 1.8. With government premium schemes (Jantri charges), FSI up to 4.0 is achievable on eligible plots.</w:t>
      </w:r>
    </w:p>
    <w:p>
      <w:pPr>
        <w:pStyle w:val="ListParagraph"/>
        <w:numPr>
          <w:ilvl w:val="0"/>
          <w:numId w:val="2"/>
        </w:numPr>
        <w:spacing w:after="80"/>
      </w:pPr>
      <w:r>
        <w:rPr>
          <w:rFonts w:ascii="Arial" w:cs="Arial" w:eastAsia="Arial" w:hAnsi="Arial"/>
          <w:color w:val="1A1A1A"/>
          <w:sz w:val="20"/>
          <w:szCs w:val="20"/>
        </w:rPr>
        <w:t xml:space="preserve">Height caps enforced automatically: 16.5 m on narrow roads, 30 m on 18 m roads, 45 m on wider roads.</w:t>
      </w:r>
    </w:p>
    <w:p>
      <w:pPr>
        <w:spacing w:after="0" w:before="100"/>
      </w:pPr>
      <w:r>
        <w:t xml:space="preserve"/>
      </w:r>
    </w:p>
    <w:p>
      <w:pPr>
        <w:pStyle w:val="Heading3"/>
        <w:spacing w:after="100" w:before="200"/>
      </w:pPr>
      <w:r>
        <w:rPr>
          <w:rFonts w:ascii="Arial" w:cs="Arial" w:eastAsia="Arial" w:hAnsi="Arial"/>
        </w:rPr>
        <w:t xml:space="preserve">Step 7 - Compliance Verification</w:t>
      </w:r>
    </w:p>
    <w:p>
      <w:pPr>
        <w:pStyle w:val="ListParagraph"/>
        <w:numPr>
          <w:ilvl w:val="0"/>
          <w:numId w:val="2"/>
        </w:numPr>
        <w:spacing w:after="80"/>
      </w:pPr>
      <w:r>
        <w:rPr>
          <w:rFonts w:ascii="Arial" w:cs="Arial" w:eastAsia="Arial" w:hAnsi="Arial"/>
          <w:color w:val="1A1A1A"/>
          <w:sz w:val="20"/>
          <w:szCs w:val="20"/>
        </w:rPr>
        <w:t xml:space="preserve">After generating the plan, the system automatically runs it through 20+ GDCR and NBC rules.</w:t>
      </w:r>
    </w:p>
    <w:p>
      <w:pPr>
        <w:pStyle w:val="ListParagraph"/>
        <w:numPr>
          <w:ilvl w:val="0"/>
          <w:numId w:val="2"/>
        </w:numPr>
        <w:spacing w:after="80"/>
      </w:pPr>
      <w:r>
        <w:rPr>
          <w:rFonts w:ascii="Arial" w:cs="Arial" w:eastAsia="Arial" w:hAnsi="Arial"/>
          <w:color w:val="1A1A1A"/>
          <w:sz w:val="20"/>
          <w:szCs w:val="20"/>
        </w:rPr>
        <w:t xml:space="preserve">Each rule produces a clear PASS or FAIL result with a plain-language reason.</w:t>
      </w:r>
    </w:p>
    <w:p>
      <w:pPr>
        <w:pStyle w:val="ListParagraph"/>
        <w:numPr>
          <w:ilvl w:val="0"/>
          <w:numId w:val="2"/>
        </w:numPr>
        <w:spacing w:after="80"/>
      </w:pPr>
      <w:r>
        <w:rPr>
          <w:rFonts w:ascii="Arial" w:cs="Arial" w:eastAsia="Arial" w:hAnsi="Arial"/>
          <w:color w:val="1A1A1A"/>
          <w:sz w:val="20"/>
          <w:szCs w:val="20"/>
        </w:rPr>
        <w:t xml:space="preserve">No plan is considered final until it passes all applicable rules.</w:t>
      </w:r>
    </w:p>
    <w:p>
      <w:pPr>
        <w:spacing w:after="0" w:before="240"/>
      </w:pPr>
      <w:r>
        <w:t xml:space="preserve"/>
      </w:r>
    </w:p>
    <w:p>
      <w:pPr>
        <w:pStyle w:val="Heading2"/>
        <w:spacing w:after="120" w:before="280"/>
      </w:pPr>
      <w:r>
        <w:rPr>
          <w:rFonts w:ascii="Arial" w:cs="Arial" w:eastAsia="Arial" w:hAnsi="Arial"/>
        </w:rPr>
        <w:t xml:space="preserve">2.3 REST APIs Built</w:t>
      </w:r>
    </w:p>
    <w:p>
      <w:pPr>
        <w:spacing w:after="120"/>
      </w:pPr>
      <w:r>
        <w:rPr>
          <w:rFonts w:ascii="Arial" w:cs="Arial" w:eastAsia="Arial" w:hAnsi="Arial"/>
          <w:b w:val="false"/>
          <w:bCs w:val="false"/>
          <w:i w:val="false"/>
          <w:iCs w:val="false"/>
          <w:color w:val="1A1A1A"/>
          <w:sz w:val="20"/>
          <w:szCs w:val="20"/>
        </w:rPr>
        <w:t xml:space="preserve">The backend exposes a set of REST API endpoints. The web application calls these to retrieve data and trigger calculations:</w:t>
      </w:r>
    </w:p>
    <w:p>
      <w:pPr>
        <w:spacing w:after="0" w:before="120"/>
      </w:pPr>
      <w:r>
        <w:t xml:space="preserve"/>
      </w:r>
    </w:p>
    <w:tbl>
      <w:tblPr>
        <w:tblW w:type="dxa" w:w="9569"/>
        <w:tblBorders>
          <w:top w:val="single" w:color="auto" w:sz="4"/>
          <w:left w:val="single" w:color="auto" w:sz="4"/>
          <w:bottom w:val="single" w:color="auto" w:sz="4"/>
          <w:right w:val="single" w:color="auto" w:sz="4"/>
          <w:insideH w:val="single" w:color="auto" w:sz="4"/>
          <w:insideV w:val="single" w:color="auto" w:sz="4"/>
        </w:tblBorders>
      </w:tblPr>
      <w:tblGrid>
        <w:gridCol w:w="3800"/>
        <w:gridCol w:w="5769"/>
      </w:tblGrid>
      <w:tr>
        <w:tc>
          <w:tcPr>
            <w:tcW w:type="dxa" w:w="3800"/>
            <w:tcBorders>
              <w:top w:val="single" w:color="CCCCCC" w:sz="4"/>
              <w:left w:val="single" w:color="CCCCCC" w:sz="4"/>
              <w:bottom w:val="single" w:color="CCCCCC" w:sz="4"/>
              <w:right w:val="single" w:color="CCCCCC" w:sz="4"/>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API Endpoint</w:t>
            </w:r>
          </w:p>
        </w:tc>
        <w:tc>
          <w:tcPr>
            <w:tcW w:type="dxa" w:w="5769"/>
            <w:tcBorders>
              <w:top w:val="single" w:color="CCCCCC" w:sz="4"/>
              <w:left w:val="single" w:color="CCCCCC" w:sz="4"/>
              <w:bottom w:val="single" w:color="CCCCCC" w:sz="4"/>
              <w:right w:val="single" w:color="CCCCCC" w:sz="4"/>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Purpose</w:t>
            </w:r>
          </w:p>
        </w:tc>
      </w:tr>
      <w:tr>
        <w:tc>
          <w:tcPr>
            <w:tcW w:type="dxa" w:w="38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bCs/>
                <w:color w:val="1A1A1A"/>
                <w:sz w:val="20"/>
                <w:szCs w:val="20"/>
              </w:rPr>
              <w:t xml:space="preserve">GET /api/plots/</w:t>
            </w:r>
          </w:p>
        </w:tc>
        <w:tc>
          <w:tcPr>
            <w:tcW w:type="dxa" w:w="5769"/>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List all available plots</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GET /api/plots/&lt;id&gt;/</w:t>
            </w:r>
          </w:p>
        </w:tc>
        <w:tc>
          <w:tcPr>
            <w:tcW w:type="dxa" w:w="5769"/>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Get a specific plot's shape and details</w:t>
            </w:r>
          </w:p>
        </w:tc>
      </w:tr>
      <w:tr>
        <w:tc>
          <w:tcPr>
            <w:tcW w:type="dxa" w:w="38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bCs/>
                <w:color w:val="1A1A1A"/>
                <w:sz w:val="20"/>
                <w:szCs w:val="20"/>
              </w:rPr>
              <w:t xml:space="preserve">GET /api/development/site-metrics/&lt;plot_id&gt;/</w:t>
            </w:r>
          </w:p>
        </w:tc>
        <w:tc>
          <w:tcPr>
            <w:tcW w:type="dxa" w:w="5769"/>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Get max FSI, max buildable area and COP area for a plot</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POST /api/development/optimal-floor-plan/</w:t>
            </w:r>
          </w:p>
        </w:tc>
        <w:tc>
          <w:tcPr>
            <w:tcW w:type="dxa" w:w="5769"/>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Generate the best development plan for given inputs</w:t>
            </w:r>
          </w:p>
        </w:tc>
      </w:tr>
      <w:tr>
        <w:tc>
          <w:tcPr>
            <w:tcW w:type="dxa" w:w="38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bCs/>
                <w:color w:val="1A1A1A"/>
                <w:sz w:val="20"/>
                <w:szCs w:val="20"/>
              </w:rPr>
              <w:t xml:space="preserve">POST /api/development/plan/</w:t>
            </w:r>
          </w:p>
        </w:tc>
        <w:tc>
          <w:tcPr>
            <w:tcW w:type="dxa" w:w="5769"/>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Start an async plan generation job (returns job ID)</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GET /api/development/plan-jobs/&lt;job_id&gt;/status/</w:t>
            </w:r>
          </w:p>
        </w:tc>
        <w:tc>
          <w:tcPr>
            <w:tcW w:type="dxa" w:w="5769"/>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Check job progress (0-100%)</w:t>
            </w:r>
          </w:p>
        </w:tc>
      </w:tr>
      <w:tr>
        <w:tc>
          <w:tcPr>
            <w:tcW w:type="dxa" w:w="38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bCs/>
                <w:color w:val="1A1A1A"/>
                <w:sz w:val="20"/>
                <w:szCs w:val="20"/>
              </w:rPr>
              <w:t xml:space="preserve">GET /api/development/plan-jobs/&lt;job_id&gt;/result/</w:t>
            </w:r>
          </w:p>
        </w:tc>
        <w:tc>
          <w:tcPr>
            <w:tcW w:type="dxa" w:w="5769"/>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Retrieve completed plan with all geometry</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POST /api/development/floor-plan/</w:t>
            </w:r>
          </w:p>
        </w:tc>
        <w:tc>
          <w:tcPr>
            <w:tcW w:type="dxa" w:w="5769"/>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Generate a typical floor plan drawing</w:t>
            </w:r>
          </w:p>
        </w:tc>
      </w:tr>
      <w:tr>
        <w:tc>
          <w:tcPr>
            <w:tcW w:type="dxa" w:w="38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bCs/>
                <w:color w:val="1A1A1A"/>
                <w:sz w:val="20"/>
                <w:szCs w:val="20"/>
              </w:rPr>
              <w:t xml:space="preserve">POST /api/development/unit-interior/</w:t>
            </w:r>
          </w:p>
        </w:tc>
        <w:tc>
          <w:tcPr>
            <w:tcW w:type="dxa" w:w="5769"/>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Generate a single apartment interior layout</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GET /api/development/feasibility/&lt;plot_id&gt;/</w:t>
            </w:r>
          </w:p>
        </w:tc>
        <w:tc>
          <w:tcPr>
            <w:tcW w:type="dxa" w:w="5769"/>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Get feasibility assessment for a plot</w:t>
            </w:r>
          </w:p>
        </w:tc>
      </w:tr>
      <w:tr>
        <w:tc>
          <w:tcPr>
            <w:tcW w:type="dxa" w:w="38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bCs/>
                <w:color w:val="1A1A1A"/>
                <w:sz w:val="20"/>
                <w:szCs w:val="20"/>
              </w:rPr>
              <w:t xml:space="preserve">POST /api/planner/ai_scenarios</w:t>
            </w:r>
          </w:p>
        </w:tc>
        <w:tc>
          <w:tcPr>
            <w:tcW w:type="dxa" w:w="5769"/>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AI-generated design scenarios for a plot</w:t>
            </w:r>
          </w:p>
        </w:tc>
      </w:tr>
    </w:tbl>
    <w:p>
      <w:pPr>
        <w:spacing w:after="0" w:before="240"/>
      </w:pPr>
      <w:r>
        <w:t xml:space="preserve"/>
      </w:r>
    </w:p>
    <w:p>
      <w:pPr>
        <w:pStyle w:val="Heading2"/>
        <w:spacing w:after="120" w:before="280"/>
      </w:pPr>
      <w:r>
        <w:rPr>
          <w:rFonts w:ascii="Arial" w:cs="Arial" w:eastAsia="Arial" w:hAnsi="Arial"/>
        </w:rPr>
        <w:t xml:space="preserve">2.4 User Authentication</w:t>
      </w:r>
    </w:p>
    <w:p>
      <w:pPr>
        <w:pStyle w:val="ListParagraph"/>
        <w:numPr>
          <w:ilvl w:val="0"/>
          <w:numId w:val="2"/>
        </w:numPr>
        <w:spacing w:after="80"/>
      </w:pPr>
      <w:r>
        <w:rPr>
          <w:rFonts w:ascii="Arial" w:cs="Arial" w:eastAsia="Arial" w:hAnsi="Arial"/>
          <w:color w:val="1A1A1A"/>
          <w:sz w:val="20"/>
          <w:szCs w:val="20"/>
        </w:rPr>
        <w:t xml:space="preserve">Secure email-based login and signup with OTP (one-time password) verification.</w:t>
      </w:r>
    </w:p>
    <w:p>
      <w:pPr>
        <w:pStyle w:val="ListParagraph"/>
        <w:numPr>
          <w:ilvl w:val="0"/>
          <w:numId w:val="2"/>
        </w:numPr>
        <w:spacing w:after="80"/>
      </w:pPr>
      <w:r>
        <w:rPr>
          <w:rFonts w:ascii="Arial" w:cs="Arial" w:eastAsia="Arial" w:hAnsi="Arial"/>
          <w:color w:val="1A1A1A"/>
          <w:sz w:val="20"/>
          <w:szCs w:val="20"/>
        </w:rPr>
        <w:t xml:space="preserve">Three access roles: Admin (full control), Architect (create and view plans) and Viewer (read-only access).</w:t>
      </w:r>
    </w:p>
    <w:p>
      <w:pPr>
        <w:pStyle w:val="ListParagraph"/>
        <w:numPr>
          <w:ilvl w:val="0"/>
          <w:numId w:val="2"/>
        </w:numPr>
        <w:spacing w:after="80"/>
      </w:pPr>
      <w:r>
        <w:rPr>
          <w:rFonts w:ascii="Arial" w:cs="Arial" w:eastAsia="Arial" w:hAnsi="Arial"/>
          <w:color w:val="1A1A1A"/>
          <w:sz w:val="20"/>
          <w:szCs w:val="20"/>
        </w:rPr>
        <w:t xml:space="preserve">Secure session management with cookie-based authentication.</w:t>
      </w:r>
    </w:p>
    <w:p>
      <w:r>
        <w:br w:type="page"/>
      </w:r>
    </w:p>
    <w:p>
      <w:pPr>
        <w:pStyle w:val="Heading1"/>
        <w:spacing w:after="160" w:before="360"/>
      </w:pPr>
      <w:r>
        <w:rPr>
          <w:rFonts w:ascii="Arial" w:cs="Arial" w:eastAsia="Arial" w:hAnsi="Arial"/>
        </w:rPr>
        <w:t xml:space="preserve">3. Database - What's Stored</w:t>
      </w:r>
    </w:p>
    <w:p>
      <w:pPr>
        <w:pBdr>
          <w:bottom w:val="single" w:color="2E75B6" w:sz="6" w:space="1"/>
        </w:pBdr>
        <w:spacing w:after="160" w:before="160"/>
      </w:pPr>
      <w:r>
        <w:t xml:space="preserve"/>
      </w:r>
    </w:p>
    <w:p>
      <w:pPr>
        <w:spacing w:after="120"/>
      </w:pPr>
      <w:r>
        <w:rPr>
          <w:rFonts w:ascii="Arial" w:cs="Arial" w:eastAsia="Arial" w:hAnsi="Arial"/>
          <w:b w:val="false"/>
          <w:bCs w:val="false"/>
          <w:i w:val="false"/>
          <w:iCs w:val="false"/>
          <w:color w:val="1A1A1A"/>
          <w:sz w:val="20"/>
          <w:szCs w:val="20"/>
        </w:rPr>
        <w:t xml:space="preserve">The database is built on PostgreSQL with the PostGIS extension, which allows storing and querying spatial (geographic) data such as plot polygons, road geometries and building footprints. Below is a summary of every data table in the system:</w:t>
      </w:r>
    </w:p>
    <w:p>
      <w:pPr>
        <w:spacing w:after="0" w:before="160"/>
      </w:pPr>
      <w:r>
        <w:t xml:space="preserve"/>
      </w:r>
    </w:p>
    <w:tbl>
      <w:tblPr>
        <w:tblW w:type="dxa" w:w="9569"/>
        <w:tblBorders>
          <w:top w:val="single" w:color="auto" w:sz="4"/>
          <w:left w:val="single" w:color="auto" w:sz="4"/>
          <w:bottom w:val="single" w:color="auto" w:sz="4"/>
          <w:right w:val="single" w:color="auto" w:sz="4"/>
          <w:insideH w:val="single" w:color="auto" w:sz="4"/>
          <w:insideV w:val="single" w:color="auto" w:sz="4"/>
        </w:tblBorders>
      </w:tblPr>
      <w:tblGrid>
        <w:gridCol w:w="2200"/>
        <w:gridCol w:w="7369"/>
      </w:tblGrid>
      <w:tr>
        <w:tc>
          <w:tcPr>
            <w:tcW w:type="dxa" w:w="2200"/>
            <w:tcBorders>
              <w:top w:val="single" w:color="CCCCCC" w:sz="4"/>
              <w:left w:val="single" w:color="CCCCCC" w:sz="4"/>
              <w:bottom w:val="single" w:color="CCCCCC" w:sz="4"/>
              <w:right w:val="single" w:color="CCCCCC" w:sz="4"/>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Table / Model</w:t>
            </w:r>
          </w:p>
        </w:tc>
        <w:tc>
          <w:tcPr>
            <w:tcW w:type="dxa" w:w="7369"/>
            <w:tcBorders>
              <w:top w:val="single" w:color="CCCCCC" w:sz="4"/>
              <w:left w:val="single" w:color="CCCCCC" w:sz="4"/>
              <w:bottom w:val="single" w:color="CCCCCC" w:sz="4"/>
              <w:right w:val="single" w:color="CCCCCC" w:sz="4"/>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What It Stores</w:t>
            </w:r>
          </w:p>
        </w:tc>
      </w:tr>
      <w:tr>
        <w:tc>
          <w:tcPr>
            <w:tcW w:type="dxa" w:w="22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bCs/>
                <w:color w:val="1A1A1A"/>
                <w:sz w:val="20"/>
                <w:szCs w:val="20"/>
              </w:rPr>
              <w:t xml:space="preserve">Plot</w:t>
            </w:r>
          </w:p>
        </w:tc>
        <w:tc>
          <w:tcPr>
            <w:tcW w:type="dxa" w:w="7369"/>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Each plot's polygon shape, area (sq.ft), road width, TP scheme number, plot number, city and validation status.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Road</w:t>
            </w:r>
          </w:p>
        </w:tc>
        <w:tc>
          <w:tcPr>
            <w:tcW w:type="dxa" w:w="7369"/>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Road polygons and computed centrelines extracted from TP scheme DXF files. Used for map rendering.</w:t>
            </w:r>
          </w:p>
        </w:tc>
      </w:tr>
      <w:tr>
        <w:tc>
          <w:tcPr>
            <w:tcW w:type="dxa" w:w="22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bCs/>
                <w:color w:val="1A1A1A"/>
                <w:sz w:val="20"/>
                <w:szCs w:val="20"/>
              </w:rPr>
              <w:t xml:space="preserve">BlockLabel</w:t>
            </w:r>
          </w:p>
        </w:tc>
        <w:tc>
          <w:tcPr>
            <w:tcW w:type="dxa" w:w="7369"/>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Text labels from the TP scheme map - block numbers and plot codes used as cartographic overlays.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PlotEnvelope</w:t>
            </w:r>
          </w:p>
        </w:tc>
        <w:tc>
          <w:tcPr>
            <w:tcW w:type="dxa" w:w="7369"/>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The computed buildable zone polygon for each plot. Also stores any error codes (e.g., too small, collapsed).</w:t>
            </w:r>
          </w:p>
        </w:tc>
      </w:tr>
      <w:tr>
        <w:tc>
          <w:tcPr>
            <w:tcW w:type="dxa" w:w="22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bCs/>
                <w:color w:val="1A1A1A"/>
                <w:sz w:val="20"/>
                <w:szCs w:val="20"/>
              </w:rPr>
              <w:t xml:space="preserve">BuildingPlacement</w:t>
            </w:r>
          </w:p>
        </w:tc>
        <w:tc>
          <w:tcPr>
            <w:tcW w:type="dxa" w:w="7369"/>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Tower placement results: number of towers, packing strategy used and audit logs.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FootprintRecord</w:t>
            </w:r>
          </w:p>
        </w:tc>
        <w:tc>
          <w:tcPr>
            <w:tcW w:type="dxa" w:w="7369"/>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Each tower's exact width, depth, area and position within the buildable zone.</w:t>
            </w:r>
          </w:p>
        </w:tc>
      </w:tr>
      <w:tr>
        <w:tc>
          <w:tcPr>
            <w:tcW w:type="dxa" w:w="22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bCs/>
                <w:color w:val="1A1A1A"/>
                <w:sz w:val="20"/>
                <w:szCs w:val="20"/>
              </w:rPr>
              <w:t xml:space="preserve">FloorSkeleton</w:t>
            </w:r>
          </w:p>
        </w:tc>
        <w:tc>
          <w:tcPr>
            <w:tcW w:type="dxa" w:w="7369"/>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Core layout per tower: staircase positions, lift shaft location, corridor type and GeoJSON rendering.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BuildingProposal</w:t>
            </w:r>
          </w:p>
        </w:tc>
        <w:tc>
          <w:tcPr>
            <w:tcW w:type="dxa" w:w="7369"/>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Full building proposal: height, number of floors, total built-up area, ground coverage, basement/lift/sprinkler flags.</w:t>
            </w:r>
          </w:p>
        </w:tc>
      </w:tr>
      <w:tr>
        <w:tc>
          <w:tcPr>
            <w:tcW w:type="dxa" w:w="22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bCs/>
                <w:color w:val="1A1A1A"/>
                <w:sz w:val="20"/>
                <w:szCs w:val="20"/>
              </w:rPr>
              <w:t xml:space="preserve">PlanJob</w:t>
            </w:r>
          </w:p>
        </w:tc>
        <w:tc>
          <w:tcPr>
            <w:tcW w:type="dxa" w:w="7369"/>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Async job tracking: status (Pending / Running / Complete / Failed), progress percentage, input parameters and result JSON.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User</w:t>
            </w:r>
          </w:p>
        </w:tc>
        <w:tc>
          <w:tcPr>
            <w:tcW w:type="dxa" w:w="7369"/>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User accounts: email, name, hashed password, roles (Admin / Architect / Viewer) and OTP state.</w:t>
            </w:r>
          </w:p>
        </w:tc>
      </w:tr>
      <w:tr>
        <w:tc>
          <w:tcPr>
            <w:tcW w:type="dxa" w:w="22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bCs/>
                <w:color w:val="1A1A1A"/>
                <w:sz w:val="20"/>
                <w:szCs w:val="20"/>
              </w:rPr>
              <w:t xml:space="preserve">Notification</w:t>
            </w:r>
          </w:p>
        </w:tc>
        <w:tc>
          <w:tcPr>
            <w:tcW w:type="dxa" w:w="7369"/>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In-app notifications per user - plan ready alerts, compliance warnings and system messages.</w:t>
            </w:r>
          </w:p>
        </w:tc>
      </w:tr>
    </w:tbl>
    <w:p>
      <w:pPr>
        <w:spacing w:after="0" w:before="200"/>
      </w:pPr>
      <w:r>
        <w:t xml:space="preserve"/>
      </w:r>
    </w:p>
    <w:p>
      <w:pPr>
        <w:spacing w:after="120"/>
      </w:pPr>
      <w:r>
        <w:rPr>
          <w:rFonts w:ascii="Arial" w:cs="Arial" w:eastAsia="Arial" w:hAnsi="Arial"/>
          <w:b w:val="false"/>
          <w:bCs w:val="false"/>
          <w:i/>
          <w:iCs/>
          <w:color w:val="1A1A1A"/>
          <w:sz w:val="20"/>
          <w:szCs w:val="20"/>
        </w:rPr>
        <w:t xml:space="preserve">All spatial data (plot shapes, envelopes, road polygons) is stored in DXF-feet coordinate space, exactly matching the original CAD files. This ensures no precision is lost during calculation. Heights and margins are stored in metres, with automatic unit conversion applied throughout the pipeline.</w:t>
      </w:r>
    </w:p>
    <w:p>
      <w:r>
        <w:br w:type="page"/>
      </w:r>
    </w:p>
    <w:p>
      <w:pPr>
        <w:pStyle w:val="Heading1"/>
        <w:spacing w:after="160" w:before="360"/>
      </w:pPr>
      <w:r>
        <w:rPr>
          <w:rFonts w:ascii="Arial" w:cs="Arial" w:eastAsia="Arial" w:hAnsi="Arial"/>
        </w:rPr>
        <w:t xml:space="preserve">4. Frontend - Web Application</w:t>
      </w:r>
    </w:p>
    <w:p>
      <w:pPr>
        <w:pBdr>
          <w:bottom w:val="single" w:color="2E75B6" w:sz="6" w:space="1"/>
        </w:pBdr>
        <w:spacing w:after="160" w:before="160"/>
      </w:pPr>
      <w:r>
        <w:t xml:space="preserve"/>
      </w:r>
    </w:p>
    <w:p>
      <w:pPr>
        <w:spacing w:after="120"/>
      </w:pPr>
      <w:r>
        <w:rPr>
          <w:rFonts w:ascii="Arial" w:cs="Arial" w:eastAsia="Arial" w:hAnsi="Arial"/>
          <w:b w:val="false"/>
          <w:bCs w:val="false"/>
          <w:i w:val="false"/>
          <w:iCs w:val="false"/>
          <w:color w:val="1A1A1A"/>
          <w:sz w:val="20"/>
          <w:szCs w:val="20"/>
        </w:rPr>
        <w:t xml:space="preserve">The web application is the interface that architects and planners use to interact with the system. It is built to be fast, visual and intuitive - allowing users to browse plots, generate plans and inspect results without any coding knowledge.</w:t>
      </w:r>
    </w:p>
    <w:p>
      <w:pPr>
        <w:spacing w:after="0" w:before="160"/>
      </w:pPr>
      <w:r>
        <w:t xml:space="preserve"/>
      </w:r>
    </w:p>
    <w:p>
      <w:pPr>
        <w:pStyle w:val="Heading2"/>
        <w:spacing w:after="120" w:before="280"/>
      </w:pPr>
      <w:r>
        <w:rPr>
          <w:rFonts w:ascii="Arial" w:cs="Arial" w:eastAsia="Arial" w:hAnsi="Arial"/>
        </w:rPr>
        <w:t xml:space="preserve">4.1 Technology Stack</w:t>
      </w:r>
    </w:p>
    <w:p>
      <w:pPr>
        <w:pStyle w:val="ListParagraph"/>
        <w:numPr>
          <w:ilvl w:val="0"/>
          <w:numId w:val="2"/>
        </w:numPr>
        <w:spacing w:after="80"/>
      </w:pPr>
      <w:r>
        <w:rPr>
          <w:rFonts w:ascii="Arial" w:cs="Arial" w:eastAsia="Arial" w:hAnsi="Arial"/>
          <w:color w:val="1A1A1A"/>
          <w:sz w:val="20"/>
          <w:szCs w:val="20"/>
        </w:rPr>
        <w:t xml:space="preserve">Next.js 16 with React 19 - modern, high-performance web framework used by leading technology companies.</w:t>
      </w:r>
    </w:p>
    <w:p>
      <w:pPr>
        <w:pStyle w:val="ListParagraph"/>
        <w:numPr>
          <w:ilvl w:val="0"/>
          <w:numId w:val="2"/>
        </w:numPr>
        <w:spacing w:after="80"/>
      </w:pPr>
      <w:r>
        <w:rPr>
          <w:rFonts w:ascii="Arial" w:cs="Arial" w:eastAsia="Arial" w:hAnsi="Arial"/>
          <w:color w:val="1A1A1A"/>
          <w:sz w:val="20"/>
          <w:szCs w:val="20"/>
        </w:rPr>
        <w:t xml:space="preserve">MapLibre GL - interactive map library for rendering all plot geometry, boundaries and visual overlays.</w:t>
      </w:r>
    </w:p>
    <w:p>
      <w:pPr>
        <w:pStyle w:val="ListParagraph"/>
        <w:numPr>
          <w:ilvl w:val="0"/>
          <w:numId w:val="2"/>
        </w:numPr>
        <w:spacing w:after="80"/>
      </w:pPr>
      <w:r>
        <w:rPr>
          <w:rFonts w:ascii="Arial" w:cs="Arial" w:eastAsia="Arial" w:hAnsi="Arial"/>
          <w:color w:val="1A1A1A"/>
          <w:sz w:val="20"/>
          <w:szCs w:val="20"/>
        </w:rPr>
        <w:t xml:space="preserve">Three.js - 3D graphics engine used for unit interior visualisation.</w:t>
      </w:r>
    </w:p>
    <w:p>
      <w:pPr>
        <w:pStyle w:val="ListParagraph"/>
        <w:numPr>
          <w:ilvl w:val="0"/>
          <w:numId w:val="2"/>
        </w:numPr>
        <w:spacing w:after="80"/>
      </w:pPr>
      <w:r>
        <w:rPr>
          <w:rFonts w:ascii="Arial" w:cs="Arial" w:eastAsia="Arial" w:hAnsi="Arial"/>
          <w:color w:val="1A1A1A"/>
          <w:sz w:val="20"/>
          <w:szCs w:val="20"/>
        </w:rPr>
        <w:t xml:space="preserve">Tailwind CSS + shadcn UI - clean, professional design component system.</w:t>
      </w:r>
    </w:p>
    <w:p>
      <w:pPr>
        <w:pStyle w:val="ListParagraph"/>
        <w:numPr>
          <w:ilvl w:val="0"/>
          <w:numId w:val="2"/>
        </w:numPr>
        <w:spacing w:after="80"/>
      </w:pPr>
      <w:r>
        <w:rPr>
          <w:rFonts w:ascii="Arial" w:cs="Arial" w:eastAsia="Arial" w:hAnsi="Arial"/>
          <w:color w:val="1A1A1A"/>
          <w:sz w:val="20"/>
          <w:szCs w:val="20"/>
        </w:rPr>
        <w:t xml:space="preserve">Framer Motion - smooth page transitions and animated UI feedback.</w:t>
      </w:r>
    </w:p>
    <w:p>
      <w:pPr>
        <w:pStyle w:val="ListParagraph"/>
        <w:numPr>
          <w:ilvl w:val="0"/>
          <w:numId w:val="2"/>
        </w:numPr>
        <w:spacing w:after="80"/>
      </w:pPr>
      <w:r>
        <w:rPr>
          <w:rFonts w:ascii="Arial" w:cs="Arial" w:eastAsia="Arial" w:hAnsi="Arial"/>
          <w:color w:val="1A1A1A"/>
          <w:sz w:val="20"/>
          <w:szCs w:val="20"/>
        </w:rPr>
        <w:t xml:space="preserve">React Query - efficient data management with automatic background updates.</w:t>
      </w:r>
    </w:p>
    <w:p>
      <w:pPr>
        <w:spacing w:after="0" w:before="200"/>
      </w:pPr>
      <w:r>
        <w:t xml:space="preserve"/>
      </w:r>
    </w:p>
    <w:p>
      <w:pPr>
        <w:pStyle w:val="Heading2"/>
        <w:spacing w:after="120" w:before="280"/>
      </w:pPr>
      <w:r>
        <w:rPr>
          <w:rFonts w:ascii="Arial" w:cs="Arial" w:eastAsia="Arial" w:hAnsi="Arial"/>
        </w:rPr>
        <w:t xml:space="preserve">4.2 Pages and Features Built</w:t>
      </w:r>
    </w:p>
    <w:p>
      <w:pPr>
        <w:spacing w:after="0" w:before="80"/>
      </w:pPr>
      <w:r>
        <w:t xml:space="preserve"/>
      </w:r>
    </w:p>
    <w:tbl>
      <w:tblPr>
        <w:tblW w:type="dxa" w:w="9569"/>
        <w:tblBorders>
          <w:top w:val="single" w:color="auto" w:sz="4"/>
          <w:left w:val="single" w:color="auto" w:sz="4"/>
          <w:bottom w:val="single" w:color="auto" w:sz="4"/>
          <w:right w:val="single" w:color="auto" w:sz="4"/>
          <w:insideH w:val="single" w:color="auto" w:sz="4"/>
          <w:insideV w:val="single" w:color="auto" w:sz="4"/>
        </w:tblBorders>
      </w:tblPr>
      <w:tblGrid>
        <w:gridCol w:w="2800"/>
        <w:gridCol w:w="6769"/>
      </w:tblGrid>
      <w:tr>
        <w:tc>
          <w:tcPr>
            <w:tcW w:type="dxa" w:w="2800"/>
            <w:tcBorders>
              <w:top w:val="single" w:color="CCCCCC" w:sz="4"/>
              <w:left w:val="single" w:color="CCCCCC" w:sz="4"/>
              <w:bottom w:val="single" w:color="CCCCCC" w:sz="4"/>
              <w:right w:val="single" w:color="CCCCCC" w:sz="4"/>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Page / Screen</w:t>
            </w:r>
          </w:p>
        </w:tc>
        <w:tc>
          <w:tcPr>
            <w:tcW w:type="dxa" w:w="6769"/>
            <w:tcBorders>
              <w:top w:val="single" w:color="CCCCCC" w:sz="4"/>
              <w:left w:val="single" w:color="CCCCCC" w:sz="4"/>
              <w:bottom w:val="single" w:color="CCCCCC" w:sz="4"/>
              <w:right w:val="single" w:color="CCCCCC" w:sz="4"/>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What the User Can Do</w:t>
            </w:r>
          </w:p>
        </w:tc>
      </w:tr>
      <w:tr>
        <w:tc>
          <w:tcPr>
            <w:tcW w:type="dxa" w:w="28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bCs/>
                <w:color w:val="1A1A1A"/>
                <w:sz w:val="20"/>
                <w:szCs w:val="20"/>
              </w:rPr>
              <w:t xml:space="preserve">Login / Signup</w:t>
            </w:r>
          </w:p>
        </w:tc>
        <w:tc>
          <w:tcPr>
            <w:tcW w:type="dxa" w:w="6769"/>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Secure email-based authentication with OTP (one-time password) verification.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Dashboard</w:t>
            </w:r>
          </w:p>
        </w:tc>
        <w:tc>
          <w:tcPr>
            <w:tcW w:type="dxa" w:w="6769"/>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High-level overview of all plans generated; quick access to recent work.</w:t>
            </w:r>
          </w:p>
        </w:tc>
      </w:tr>
      <w:tr>
        <w:tc>
          <w:tcPr>
            <w:tcW w:type="dxa" w:w="28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bCs/>
                <w:color w:val="1A1A1A"/>
                <w:sz w:val="20"/>
                <w:szCs w:val="20"/>
              </w:rPr>
              <w:t xml:space="preserve">Plots Browser (/plots)</w:t>
            </w:r>
          </w:p>
        </w:tc>
        <w:tc>
          <w:tcPr>
            <w:tcW w:type="dxa" w:w="6769"/>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Browse all 175 TP14 plots on an interactive map. Filter by area, road width or plot number.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Planner Workspace (/planner)</w:t>
            </w:r>
          </w:p>
        </w:tc>
        <w:tc>
          <w:tcPr>
            <w:tcW w:type="dxa" w:w="6769"/>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Main design interface - select a plot and click to generate a full development plan.</w:t>
            </w:r>
          </w:p>
        </w:tc>
      </w:tr>
      <w:tr>
        <w:tc>
          <w:tcPr>
            <w:tcW w:type="dxa" w:w="28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bCs/>
                <w:color w:val="1A1A1A"/>
                <w:sz w:val="20"/>
                <w:szCs w:val="20"/>
              </w:rPr>
              <w:t xml:space="preserve">Site Plan View</w:t>
            </w:r>
          </w:p>
        </w:tc>
        <w:tc>
          <w:tcPr>
            <w:tcW w:type="dxa" w:w="6769"/>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See the plot boundary, buildable envelope, tower placements, setback bands and COP area on a live map.</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Floor Plan View (/planner/floor)</w:t>
            </w:r>
          </w:p>
        </w:tc>
        <w:tc>
          <w:tcPr>
            <w:tcW w:type="dxa" w:w="6769"/>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See a typical floor layout: apartments, service core, balconies and corridors - all to scale.</w:t>
            </w:r>
          </w:p>
        </w:tc>
      </w:tr>
      <w:tr>
        <w:tc>
          <w:tcPr>
            <w:tcW w:type="dxa" w:w="28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bCs/>
                <w:color w:val="1A1A1A"/>
                <w:sz w:val="20"/>
                <w:szCs w:val="20"/>
              </w:rPr>
              <w:t xml:space="preserve">Unit Interior View (/planner/flat/[id])</w:t>
            </w:r>
          </w:p>
        </w:tc>
        <w:tc>
          <w:tcPr>
            <w:tcW w:type="dxa" w:w="6769"/>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View a single apartment's 2D layout - rooms, dimensions, openings and balcony.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Admin Dashboard (/admin)</w:t>
            </w:r>
          </w:p>
        </w:tc>
        <w:tc>
          <w:tcPr>
            <w:tcW w:type="dxa" w:w="6769"/>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Manage users, monitor all plans across the system, view system health metrics.</w:t>
            </w:r>
          </w:p>
        </w:tc>
      </w:tr>
      <w:tr>
        <w:tc>
          <w:tcPr>
            <w:tcW w:type="dxa" w:w="28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bCs/>
                <w:color w:val="1A1A1A"/>
                <w:sz w:val="20"/>
                <w:szCs w:val="20"/>
              </w:rPr>
              <w:t xml:space="preserve">Profile &amp; Settings</w:t>
            </w:r>
          </w:p>
        </w:tc>
        <w:tc>
          <w:tcPr>
            <w:tcW w:type="dxa" w:w="6769"/>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User account preferences and theme/display settings.</w:t>
            </w:r>
          </w:p>
        </w:tc>
      </w:tr>
    </w:tbl>
    <w:p>
      <w:pPr>
        <w:spacing w:after="0" w:before="200"/>
      </w:pPr>
      <w:r>
        <w:t xml:space="preserve"/>
      </w:r>
    </w:p>
    <w:p>
      <w:pPr>
        <w:pStyle w:val="Heading2"/>
        <w:spacing w:after="120" w:before="280"/>
      </w:pPr>
      <w:r>
        <w:rPr>
          <w:rFonts w:ascii="Arial" w:cs="Arial" w:eastAsia="Arial" w:hAnsi="Arial"/>
        </w:rPr>
        <w:t xml:space="preserve">4.3 Key Visual Features</w:t>
      </w:r>
    </w:p>
    <w:p>
      <w:pPr>
        <w:pStyle w:val="Heading3"/>
        <w:spacing w:after="100" w:before="200"/>
      </w:pPr>
      <w:r>
        <w:rPr>
          <w:rFonts w:ascii="Arial" w:cs="Arial" w:eastAsia="Arial" w:hAnsi="Arial"/>
        </w:rPr>
        <w:t xml:space="preserve">Interactive Map</w:t>
      </w:r>
    </w:p>
    <w:p>
      <w:pPr>
        <w:pStyle w:val="ListParagraph"/>
        <w:numPr>
          <w:ilvl w:val="0"/>
          <w:numId w:val="2"/>
        </w:numPr>
        <w:spacing w:after="80"/>
      </w:pPr>
      <w:r>
        <w:rPr>
          <w:rFonts w:ascii="Arial" w:cs="Arial" w:eastAsia="Arial" w:hAnsi="Arial"/>
          <w:color w:val="1A1A1A"/>
          <w:sz w:val="20"/>
          <w:szCs w:val="20"/>
        </w:rPr>
        <w:t xml:space="preserve">All 175 TP14 plots are rendered on a live interactive map. Click any plot to instantly load its geometry, area and road details.</w:t>
      </w:r>
    </w:p>
    <w:p>
      <w:pPr>
        <w:pStyle w:val="ListParagraph"/>
        <w:numPr>
          <w:ilvl w:val="0"/>
          <w:numId w:val="2"/>
        </w:numPr>
        <w:spacing w:after="80"/>
      </w:pPr>
      <w:r>
        <w:rPr>
          <w:rFonts w:ascii="Arial" w:cs="Arial" w:eastAsia="Arial" w:hAnsi="Arial"/>
          <w:color w:val="1A1A1A"/>
          <w:sz w:val="20"/>
          <w:szCs w:val="20"/>
        </w:rPr>
        <w:t xml:space="preserve">Plots are visually highlighted when selected. All plot information is loaded without a page refresh.</w:t>
      </w:r>
    </w:p>
    <w:p>
      <w:pPr>
        <w:spacing w:after="0" w:before="100"/>
      </w:pPr>
      <w:r>
        <w:t xml:space="preserve"/>
      </w:r>
    </w:p>
    <w:p>
      <w:pPr>
        <w:pStyle w:val="Heading3"/>
        <w:spacing w:after="100" w:before="200"/>
      </w:pPr>
      <w:r>
        <w:rPr>
          <w:rFonts w:ascii="Arial" w:cs="Arial" w:eastAsia="Arial" w:hAnsi="Arial"/>
        </w:rPr>
        <w:t xml:space="preserve">Layer Controls</w:t>
      </w:r>
    </w:p>
    <w:p>
      <w:pPr>
        <w:pStyle w:val="ListParagraph"/>
        <w:numPr>
          <w:ilvl w:val="0"/>
          <w:numId w:val="2"/>
        </w:numPr>
        <w:spacing w:after="80"/>
      </w:pPr>
      <w:r>
        <w:rPr>
          <w:rFonts w:ascii="Arial" w:cs="Arial" w:eastAsia="Arial" w:hAnsi="Arial"/>
          <w:color w:val="1A1A1A"/>
          <w:sz w:val="20"/>
          <w:szCs w:val="20"/>
        </w:rPr>
        <w:t xml:space="preserve">Users can toggle individual map layers on and off: buildable envelope, setback bands, tower footprints, road network, COP (Common Open Plot) zone and spacing indicators.</w:t>
      </w:r>
    </w:p>
    <w:p>
      <w:pPr>
        <w:pStyle w:val="ListParagraph"/>
        <w:numPr>
          <w:ilvl w:val="0"/>
          <w:numId w:val="2"/>
        </w:numPr>
        <w:spacing w:after="80"/>
      </w:pPr>
      <w:r>
        <w:rPr>
          <w:rFonts w:ascii="Arial" w:cs="Arial" w:eastAsia="Arial" w:hAnsi="Arial"/>
          <w:color w:val="1A1A1A"/>
          <w:sz w:val="20"/>
          <w:szCs w:val="20"/>
        </w:rPr>
        <w:t xml:space="preserve">This lets architects focus on specific aspects of the design without visual clutter.</w:t>
      </w:r>
    </w:p>
    <w:p>
      <w:pPr>
        <w:spacing w:after="0" w:before="100"/>
      </w:pPr>
      <w:r>
        <w:t xml:space="preserve"/>
      </w:r>
    </w:p>
    <w:p>
      <w:pPr>
        <w:pStyle w:val="Heading3"/>
        <w:spacing w:after="100" w:before="200"/>
      </w:pPr>
      <w:r>
        <w:rPr>
          <w:rFonts w:ascii="Arial" w:cs="Arial" w:eastAsia="Arial" w:hAnsi="Arial"/>
        </w:rPr>
        <w:t xml:space="preserve">Real-Time Progress Tracking</w:t>
      </w:r>
    </w:p>
    <w:p>
      <w:pPr>
        <w:pStyle w:val="ListParagraph"/>
        <w:numPr>
          <w:ilvl w:val="0"/>
          <w:numId w:val="2"/>
        </w:numPr>
        <w:spacing w:after="80"/>
      </w:pPr>
      <w:r>
        <w:rPr>
          <w:rFonts w:ascii="Arial" w:cs="Arial" w:eastAsia="Arial" w:hAnsi="Arial"/>
          <w:color w:val="1A1A1A"/>
          <w:sz w:val="20"/>
          <w:szCs w:val="20"/>
        </w:rPr>
        <w:t xml:space="preserve">When a plan is being computed, a live progress bar (0 to 100%) shows the current stage of computation.</w:t>
      </w:r>
    </w:p>
    <w:p>
      <w:pPr>
        <w:pStyle w:val="ListParagraph"/>
        <w:numPr>
          <w:ilvl w:val="0"/>
          <w:numId w:val="2"/>
        </w:numPr>
        <w:spacing w:after="80"/>
      </w:pPr>
      <w:r>
        <w:rPr>
          <w:rFonts w:ascii="Arial" w:cs="Arial" w:eastAsia="Arial" w:hAnsi="Arial"/>
          <w:color w:val="1A1A1A"/>
          <w:sz w:val="20"/>
          <w:szCs w:val="20"/>
        </w:rPr>
        <w:t xml:space="preserve">Users see live updates as the system moves through envelope calculation, placement, layout and compliance checking.</w:t>
      </w:r>
    </w:p>
    <w:p>
      <w:pPr>
        <w:spacing w:after="0" w:before="100"/>
      </w:pPr>
      <w:r>
        <w:t xml:space="preserve"/>
      </w:r>
    </w:p>
    <w:p>
      <w:pPr>
        <w:pStyle w:val="Heading3"/>
        <w:spacing w:after="100" w:before="200"/>
      </w:pPr>
      <w:r>
        <w:rPr>
          <w:rFonts w:ascii="Arial" w:cs="Arial" w:eastAsia="Arial" w:hAnsi="Arial"/>
        </w:rPr>
        <w:t xml:space="preserve">Planning Metrics Panels</w:t>
      </w:r>
    </w:p>
    <w:p>
      <w:pPr>
        <w:pStyle w:val="ListParagraph"/>
        <w:numPr>
          <w:ilvl w:val="0"/>
          <w:numId w:val="2"/>
        </w:numPr>
        <w:spacing w:after="80"/>
      </w:pPr>
      <w:r>
        <w:rPr>
          <w:rFonts w:ascii="Arial" w:cs="Arial" w:eastAsia="Arial" w:hAnsi="Arial"/>
          <w:color w:val="1A1A1A"/>
          <w:sz w:val="20"/>
          <w:szCs w:val="20"/>
        </w:rPr>
        <w:t xml:space="preserve">Three dedicated panels display: FSI utilisation (achieved vs. maximum allowed), Ground Coverage percentage and COP (open space) area.</w:t>
      </w:r>
    </w:p>
    <w:p>
      <w:pPr>
        <w:pStyle w:val="ListParagraph"/>
        <w:numPr>
          <w:ilvl w:val="0"/>
          <w:numId w:val="2"/>
        </w:numPr>
        <w:spacing w:after="80"/>
      </w:pPr>
      <w:r>
        <w:rPr>
          <w:rFonts w:ascii="Arial" w:cs="Arial" w:eastAsia="Arial" w:hAnsi="Arial"/>
          <w:color w:val="1A1A1A"/>
          <w:sz w:val="20"/>
          <w:szCs w:val="20"/>
        </w:rPr>
        <w:t xml:space="preserve">Each metric is shown with a visual progress bar for at-a-glance understanding.</w:t>
      </w:r>
    </w:p>
    <w:p>
      <w:pPr>
        <w:spacing w:after="0" w:before="100"/>
      </w:pPr>
      <w:r>
        <w:t xml:space="preserve"/>
      </w:r>
    </w:p>
    <w:p>
      <w:pPr>
        <w:pStyle w:val="Heading3"/>
        <w:spacing w:after="100" w:before="200"/>
      </w:pPr>
      <w:r>
        <w:rPr>
          <w:rFonts w:ascii="Arial" w:cs="Arial" w:eastAsia="Arial" w:hAnsi="Arial"/>
        </w:rPr>
        <w:t xml:space="preserve">Scenario Switcher</w:t>
      </w:r>
    </w:p>
    <w:p>
      <w:pPr>
        <w:pStyle w:val="ListParagraph"/>
        <w:numPr>
          <w:ilvl w:val="0"/>
          <w:numId w:val="2"/>
        </w:numPr>
        <w:spacing w:after="80"/>
      </w:pPr>
      <w:r>
        <w:rPr>
          <w:rFonts w:ascii="Arial" w:cs="Arial" w:eastAsia="Arial" w:hAnsi="Arial"/>
          <w:color w:val="1A1A1A"/>
          <w:sz w:val="20"/>
          <w:szCs w:val="20"/>
        </w:rPr>
        <w:t xml:space="preserve">Multiple design scenarios can be generated for the same plot (e.g., 1-tower vs. 2-tower, different height configurations).</w:t>
      </w:r>
    </w:p>
    <w:p>
      <w:pPr>
        <w:pStyle w:val="ListParagraph"/>
        <w:numPr>
          <w:ilvl w:val="0"/>
          <w:numId w:val="2"/>
        </w:numPr>
        <w:spacing w:after="80"/>
      </w:pPr>
      <w:r>
        <w:rPr>
          <w:rFonts w:ascii="Arial" w:cs="Arial" w:eastAsia="Arial" w:hAnsi="Arial"/>
          <w:color w:val="1A1A1A"/>
          <w:sz w:val="20"/>
          <w:szCs w:val="20"/>
        </w:rPr>
        <w:t xml:space="preserve">Scenarios can be compared side by side to inform the best development decision.</w:t>
      </w:r>
    </w:p>
    <w:p>
      <w:pPr>
        <w:spacing w:after="0" w:before="100"/>
      </w:pPr>
      <w:r>
        <w:t xml:space="preserve"/>
      </w:r>
    </w:p>
    <w:p>
      <w:pPr>
        <w:pStyle w:val="Heading3"/>
        <w:spacing w:after="100" w:before="200"/>
      </w:pPr>
      <w:r>
        <w:rPr>
          <w:rFonts w:ascii="Arial" w:cs="Arial" w:eastAsia="Arial" w:hAnsi="Arial"/>
        </w:rPr>
        <w:t xml:space="preserve">Professional Drawing Output</w:t>
      </w:r>
    </w:p>
    <w:p>
      <w:pPr>
        <w:pStyle w:val="ListParagraph"/>
        <w:numPr>
          <w:ilvl w:val="0"/>
          <w:numId w:val="2"/>
        </w:numPr>
        <w:spacing w:after="80"/>
      </w:pPr>
      <w:r>
        <w:rPr>
          <w:rFonts w:ascii="Arial" w:cs="Arial" w:eastAsia="Arial" w:hAnsi="Arial"/>
          <w:color w:val="1A1A1A"/>
          <w:sz w:val="20"/>
          <w:szCs w:val="20"/>
        </w:rPr>
        <w:t xml:space="preserve">Generated drawings include a north arrow, scale bar and zone labels.</w:t>
      </w:r>
    </w:p>
    <w:p>
      <w:pPr>
        <w:pStyle w:val="ListParagraph"/>
        <w:numPr>
          <w:ilvl w:val="0"/>
          <w:numId w:val="2"/>
        </w:numPr>
        <w:spacing w:after="80"/>
      </w:pPr>
      <w:r>
        <w:rPr>
          <w:rFonts w:ascii="Arial" w:cs="Arial" w:eastAsia="Arial" w:hAnsi="Arial"/>
          <w:color w:val="1A1A1A"/>
          <w:sz w:val="20"/>
          <w:szCs w:val="20"/>
        </w:rPr>
        <w:t xml:space="preserve">Output is suitable for use in architectural presentations and initial feasibility reports.</w:t>
      </w:r>
    </w:p>
    <w:p>
      <w:pPr>
        <w:spacing w:after="0" w:before="100"/>
      </w:pPr>
      <w:r>
        <w:t xml:space="preserve"/>
      </w:r>
    </w:p>
    <w:p>
      <w:pPr>
        <w:pStyle w:val="Heading3"/>
        <w:spacing w:after="100" w:before="200"/>
      </w:pPr>
      <w:r>
        <w:rPr>
          <w:rFonts w:ascii="Arial" w:cs="Arial" w:eastAsia="Arial" w:hAnsi="Arial"/>
        </w:rPr>
        <w:t xml:space="preserve">Unit Interior View</w:t>
      </w:r>
    </w:p>
    <w:p>
      <w:pPr>
        <w:pStyle w:val="ListParagraph"/>
        <w:numPr>
          <w:ilvl w:val="0"/>
          <w:numId w:val="2"/>
        </w:numPr>
        <w:spacing w:after="80"/>
      </w:pPr>
      <w:r>
        <w:rPr>
          <w:rFonts w:ascii="Arial" w:cs="Arial" w:eastAsia="Arial" w:hAnsi="Arial"/>
          <w:color w:val="1A1A1A"/>
          <w:sz w:val="20"/>
          <w:szCs w:val="20"/>
        </w:rPr>
        <w:t xml:space="preserve">Drill down from the building to a single apartment. See a 2D layout of every room - bedroom, kitchen, bathroom, living area - with dimensions.</w:t>
      </w:r>
    </w:p>
    <w:p>
      <w:pPr>
        <w:pStyle w:val="ListParagraph"/>
        <w:numPr>
          <w:ilvl w:val="0"/>
          <w:numId w:val="2"/>
        </w:numPr>
        <w:spacing w:after="80"/>
      </w:pPr>
      <w:r>
        <w:rPr>
          <w:rFonts w:ascii="Arial" w:cs="Arial" w:eastAsia="Arial" w:hAnsi="Arial"/>
          <w:color w:val="1A1A1A"/>
          <w:sz w:val="20"/>
          <w:szCs w:val="20"/>
        </w:rPr>
        <w:t xml:space="preserve">A 3D preview of the unit interior is also available.</w:t>
      </w:r>
    </w:p>
    <w:p>
      <w:r>
        <w:br w:type="page"/>
      </w:r>
    </w:p>
    <w:p>
      <w:pPr>
        <w:pStyle w:val="Heading1"/>
        <w:spacing w:after="160" w:before="360"/>
      </w:pPr>
      <w:r>
        <w:rPr>
          <w:rFonts w:ascii="Arial" w:cs="Arial" w:eastAsia="Arial" w:hAnsi="Arial"/>
        </w:rPr>
        <w:t xml:space="preserve">5. TP14 Dataset - Benchmark Testing</w:t>
      </w:r>
    </w:p>
    <w:p>
      <w:pPr>
        <w:pBdr>
          <w:bottom w:val="single" w:color="2E75B6" w:sz="6" w:space="1"/>
        </w:pBdr>
        <w:spacing w:after="160" w:before="160"/>
      </w:pPr>
      <w:r>
        <w:t xml:space="preserve"/>
      </w:r>
    </w:p>
    <w:p>
      <w:pPr>
        <w:pStyle w:val="Heading2"/>
        <w:spacing w:after="120" w:before="280"/>
      </w:pPr>
      <w:r>
        <w:rPr>
          <w:rFonts w:ascii="Arial" w:cs="Arial" w:eastAsia="Arial" w:hAnsi="Arial"/>
        </w:rPr>
        <w:t xml:space="preserve">5.1 What is TP14?</w:t>
      </w:r>
    </w:p>
    <w:p>
      <w:pPr>
        <w:pStyle w:val="ListParagraph"/>
        <w:numPr>
          <w:ilvl w:val="0"/>
          <w:numId w:val="2"/>
        </w:numPr>
        <w:spacing w:after="80"/>
      </w:pPr>
      <w:r>
        <w:rPr>
          <w:rFonts w:ascii="Arial" w:cs="Arial" w:eastAsia="Arial" w:hAnsi="Arial"/>
          <w:color w:val="1A1A1A"/>
          <w:sz w:val="20"/>
          <w:szCs w:val="20"/>
        </w:rPr>
        <w:t xml:space="preserve">TP14 is Town Planning Scheme No. 14 - a real, government-approved development scheme from Gujarat.</w:t>
      </w:r>
    </w:p>
    <w:p>
      <w:pPr>
        <w:pStyle w:val="ListParagraph"/>
        <w:numPr>
          <w:ilvl w:val="0"/>
          <w:numId w:val="2"/>
        </w:numPr>
        <w:spacing w:after="80"/>
      </w:pPr>
      <w:r>
        <w:rPr>
          <w:rFonts w:ascii="Arial" w:cs="Arial" w:eastAsia="Arial" w:hAnsi="Arial"/>
          <w:color w:val="1A1A1A"/>
          <w:sz w:val="20"/>
          <w:szCs w:val="20"/>
        </w:rPr>
        <w:t xml:space="preserve">It contains 175 individual plots (FP1 through FP180), each with different sizes, shapes, frontages, depths and road conditions.</w:t>
      </w:r>
    </w:p>
    <w:p>
      <w:pPr>
        <w:pStyle w:val="ListParagraph"/>
        <w:numPr>
          <w:ilvl w:val="0"/>
          <w:numId w:val="2"/>
        </w:numPr>
        <w:spacing w:after="80"/>
      </w:pPr>
      <w:r>
        <w:rPr>
          <w:rFonts w:ascii="Arial" w:cs="Arial" w:eastAsia="Arial" w:hAnsi="Arial"/>
          <w:color w:val="1A1A1A"/>
          <w:sz w:val="20"/>
          <w:szCs w:val="20"/>
        </w:rPr>
        <w:t xml:space="preserve">Using real plots ensures the system is tested against the full range of scenarios encountered in practice - not just ideal shapes.</w:t>
      </w:r>
    </w:p>
    <w:p>
      <w:pPr>
        <w:pStyle w:val="ListParagraph"/>
        <w:numPr>
          <w:ilvl w:val="0"/>
          <w:numId w:val="2"/>
        </w:numPr>
        <w:spacing w:after="80"/>
      </w:pPr>
      <w:r>
        <w:rPr>
          <w:rFonts w:ascii="Arial" w:cs="Arial" w:eastAsia="Arial" w:hAnsi="Arial"/>
          <w:color w:val="1A1A1A"/>
          <w:sz w:val="20"/>
          <w:szCs w:val="20"/>
        </w:rPr>
        <w:t xml:space="preserve">All 175 plots have been imported into the database and are accessible through the web application.</w:t>
      </w:r>
    </w:p>
    <w:p>
      <w:pPr>
        <w:pStyle w:val="ListParagraph"/>
        <w:numPr>
          <w:ilvl w:val="0"/>
          <w:numId w:val="2"/>
        </w:numPr>
        <w:spacing w:after="80"/>
      </w:pPr>
      <w:r>
        <w:rPr>
          <w:rFonts w:ascii="Arial" w:cs="Arial" w:eastAsia="Arial" w:hAnsi="Arial"/>
          <w:color w:val="1A1A1A"/>
          <w:sz w:val="20"/>
          <w:szCs w:val="20"/>
        </w:rPr>
        <w:t xml:space="preserve">Plots range from small corner plots (~100 sqm) to large regular plots (~1,000 sqm+), covering the typical diversity found in Gujarat urban development schemes.</w:t>
      </w:r>
    </w:p>
    <w:p>
      <w:pPr>
        <w:spacing w:after="0" w:before="200"/>
      </w:pPr>
      <w:r>
        <w:t xml:space="preserve"/>
      </w:r>
    </w:p>
    <w:p>
      <w:pPr>
        <w:pStyle w:val="Heading2"/>
        <w:spacing w:after="120" w:before="280"/>
      </w:pPr>
      <w:r>
        <w:rPr>
          <w:rFonts w:ascii="Arial" w:cs="Arial" w:eastAsia="Arial" w:hAnsi="Arial"/>
        </w:rPr>
        <w:t xml:space="preserve">5.2 Benchmark Results - Latest Run (v5)</w:t>
      </w:r>
    </w:p>
    <w:p>
      <w:pPr>
        <w:spacing w:after="0" w:before="80"/>
      </w:pPr>
      <w:r>
        <w:t xml:space="preserve"/>
      </w:r>
    </w:p>
    <w:tbl>
      <w:tblPr>
        <w:tblW w:type="dxa" w:w="9569"/>
        <w:tblBorders>
          <w:top w:val="single" w:color="auto" w:sz="4"/>
          <w:left w:val="single" w:color="auto" w:sz="4"/>
          <w:bottom w:val="single" w:color="auto" w:sz="4"/>
          <w:right w:val="single" w:color="auto" w:sz="4"/>
          <w:insideH w:val="single" w:color="auto" w:sz="4"/>
          <w:insideV w:val="single" w:color="auto" w:sz="4"/>
        </w:tblBorders>
      </w:tblPr>
      <w:tblGrid>
        <w:gridCol w:w="4200"/>
        <w:gridCol w:w="5369"/>
      </w:tblGrid>
      <w:tr>
        <w:tc>
          <w:tcPr>
            <w:tcW w:type="dxa" w:w="4200"/>
            <w:tcBorders>
              <w:top w:val="single" w:color="CCCCCC" w:sz="4"/>
              <w:left w:val="single" w:color="CCCCCC" w:sz="4"/>
              <w:bottom w:val="single" w:color="CCCCCC" w:sz="4"/>
              <w:right w:val="single" w:color="CCCCCC" w:sz="4"/>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Metric</w:t>
            </w:r>
          </w:p>
        </w:tc>
        <w:tc>
          <w:tcPr>
            <w:tcW w:type="dxa" w:w="5369"/>
            <w:tcBorders>
              <w:top w:val="single" w:color="CCCCCC" w:sz="4"/>
              <w:left w:val="single" w:color="CCCCCC" w:sz="4"/>
              <w:bottom w:val="single" w:color="CCCCCC" w:sz="4"/>
              <w:right w:val="single" w:color="CCCCCC" w:sz="4"/>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Result</w:t>
            </w:r>
          </w:p>
        </w:tc>
      </w:tr>
      <w:tr>
        <w:tc>
          <w:tcPr>
            <w:tcW w:type="dxa" w:w="42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bCs/>
                <w:color w:val="1A1A1A"/>
                <w:sz w:val="20"/>
                <w:szCs w:val="20"/>
              </w:rPr>
              <w:t xml:space="preserve">Total Plots Tested</w:t>
            </w:r>
          </w:p>
        </w:tc>
        <w:tc>
          <w:tcPr>
            <w:tcW w:type="dxa" w:w="5369"/>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175 plots (TP14 - Town Planning Scheme No. 14)</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Plans Successfully Generated</w:t>
            </w:r>
          </w:p>
        </w:tc>
        <w:tc>
          <w:tcPr>
            <w:tcW w:type="dxa" w:w="5369"/>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128 plots (74.9%)</w:t>
            </w:r>
          </w:p>
        </w:tc>
      </w:tr>
      <w:tr>
        <w:tc>
          <w:tcPr>
            <w:tcW w:type="dxa" w:w="42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bCs/>
                <w:color w:val="1A1A1A"/>
                <w:sz w:val="20"/>
                <w:szCs w:val="20"/>
              </w:rPr>
              <w:t xml:space="preserve">Plots Passing Full Compliance</w:t>
            </w:r>
          </w:p>
        </w:tc>
        <w:tc>
          <w:tcPr>
            <w:tcW w:type="dxa" w:w="5369"/>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128 plots</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Plots Flagged as Too Small or Irregular</w:t>
            </w:r>
          </w:p>
        </w:tc>
        <w:tc>
          <w:tcPr>
            <w:tcW w:type="dxa" w:w="5369"/>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~47 plots (25.1%)</w:t>
            </w:r>
          </w:p>
        </w:tc>
      </w:tr>
      <w:tr>
        <w:tc>
          <w:tcPr>
            <w:tcW w:type="dxa" w:w="42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bCs/>
                <w:color w:val="1A1A1A"/>
                <w:sz w:val="20"/>
                <w:szCs w:val="20"/>
              </w:rPr>
              <w:t xml:space="preserve">Best FSI Achieved (single plot)</w:t>
            </w:r>
          </w:p>
        </w:tc>
        <w:tc>
          <w:tcPr>
            <w:tcW w:type="dxa" w:w="5369"/>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3.915 - Plot FP133</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Median FSI Across Passing Plots</w:t>
            </w:r>
          </w:p>
        </w:tc>
        <w:tc>
          <w:tcPr>
            <w:tcW w:type="dxa" w:w="5369"/>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~1.68</w:t>
            </w:r>
          </w:p>
        </w:tc>
      </w:tr>
      <w:tr>
        <w:tc>
          <w:tcPr>
            <w:tcW w:type="dxa" w:w="42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bCs/>
                <w:color w:val="1A1A1A"/>
                <w:sz w:val="20"/>
                <w:szCs w:val="20"/>
              </w:rPr>
              <w:t xml:space="preserve">Highest Floor Count Achieved</w:t>
            </w:r>
          </w:p>
        </w:tc>
        <w:tc>
          <w:tcPr>
            <w:tcW w:type="dxa" w:w="5369"/>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15 floors</w:t>
            </w:r>
          </w:p>
        </w:tc>
      </w:tr>
    </w:tbl>
    <w:p>
      <w:pPr>
        <w:spacing w:after="0" w:before="200"/>
      </w:pPr>
      <w:r>
        <w:t xml:space="preserve"/>
      </w:r>
    </w:p>
    <w:p>
      <w:pPr>
        <w:pStyle w:val="Heading2"/>
        <w:spacing w:after="120" w:before="280"/>
      </w:pPr>
      <w:r>
        <w:rPr>
          <w:rFonts w:ascii="Arial" w:cs="Arial" w:eastAsia="Arial" w:hAnsi="Arial"/>
        </w:rPr>
        <w:t xml:space="preserve">5.3 Notable Plot Results</w:t>
      </w:r>
    </w:p>
    <w:p>
      <w:pPr>
        <w:spacing w:after="0" w:before="80"/>
      </w:pPr>
      <w:r>
        <w:t xml:space="preserve"/>
      </w:r>
    </w:p>
    <w:tbl>
      <w:tblPr>
        <w:tblW w:type="dxa" w:w="9569"/>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369"/>
      </w:tblGrid>
      <w:tr>
        <w:tc>
          <w:tcPr>
            <w:tcW w:type="dxa" w:w="1200"/>
            <w:tcBorders>
              <w:top w:val="single" w:color="CCCCCC" w:sz="4"/>
              <w:left w:val="single" w:color="CCCCCC" w:sz="4"/>
              <w:bottom w:val="single" w:color="CCCCCC" w:sz="4"/>
              <w:right w:val="single" w:color="CCCCCC" w:sz="4"/>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Plot</w:t>
            </w:r>
          </w:p>
        </w:tc>
        <w:tc>
          <w:tcPr>
            <w:tcW w:type="dxa" w:w="1600"/>
            <w:tcBorders>
              <w:top w:val="single" w:color="CCCCCC" w:sz="4"/>
              <w:left w:val="single" w:color="CCCCCC" w:sz="4"/>
              <w:bottom w:val="single" w:color="CCCCCC" w:sz="4"/>
              <w:right w:val="single" w:color="CCCCCC" w:sz="4"/>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Area</w:t>
            </w:r>
          </w:p>
        </w:tc>
        <w:tc>
          <w:tcPr>
            <w:tcW w:type="dxa" w:w="2400"/>
            <w:tcBorders>
              <w:top w:val="single" w:color="CCCCCC" w:sz="4"/>
              <w:left w:val="single" w:color="CCCCCC" w:sz="4"/>
              <w:bottom w:val="single" w:color="CCCCCC" w:sz="4"/>
              <w:right w:val="single" w:color="CCCCCC" w:sz="4"/>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Key Result</w:t>
            </w:r>
          </w:p>
        </w:tc>
        <w:tc>
          <w:tcPr>
            <w:tcW w:type="dxa" w:w="4369"/>
            <w:tcBorders>
              <w:top w:val="single" w:color="CCCCCC" w:sz="4"/>
              <w:left w:val="single" w:color="CCCCCC" w:sz="4"/>
              <w:bottom w:val="single" w:color="CCCCCC" w:sz="4"/>
              <w:right w:val="single" w:color="CCCCCC" w:sz="4"/>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Notes</w:t>
            </w:r>
          </w:p>
        </w:tc>
      </w:tr>
      <w:tr>
        <w:tc>
          <w:tcPr>
            <w:tcW w:type="dxa" w:w="12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bCs/>
                <w:color w:val="1A1A1A"/>
                <w:sz w:val="20"/>
                <w:szCs w:val="20"/>
              </w:rPr>
              <w:t xml:space="preserve">FP133</w:t>
            </w:r>
          </w:p>
        </w:tc>
        <w:tc>
          <w:tcPr>
            <w:tcW w:type="dxa" w:w="16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~842 sqm</w:t>
            </w:r>
          </w:p>
        </w:tc>
        <w:tc>
          <w:tcPr>
            <w:tcW w:type="dxa" w:w="24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FSI 3.915, 13 floors</w:t>
            </w:r>
          </w:p>
        </w:tc>
        <w:tc>
          <w:tcPr>
            <w:tcW w:type="dxa" w:w="4369"/>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Best result in benchmark. Placement improvement increased FSI by +15.7% and envelope usage from 41% to 97%.</w:t>
            </w:r>
          </w:p>
        </w:tc>
      </w:tr>
      <w:tr>
        <w:tc>
          <w:tcPr>
            <w:tcW w:type="dxa" w:w="1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bCs/>
                <w:color w:val="1A1A1A"/>
                <w:sz w:val="20"/>
                <w:szCs w:val="20"/>
              </w:rPr>
              <w:t xml:space="preserve">FP82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Mid-size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+0.41 FSI gain</w:t>
            </w:r>
          </w:p>
        </w:tc>
        <w:tc>
          <w:tcPr>
            <w:tcW w:type="dxa" w:w="4369"/>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rFonts w:ascii="Arial" w:cs="Arial" w:eastAsia="Arial" w:hAnsi="Arial"/>
                <w:b w:val="false"/>
                <w:bCs w:val="false"/>
                <w:color w:val="1A1A1A"/>
                <w:sz w:val="20"/>
                <w:szCs w:val="20"/>
              </w:rPr>
              <w:t xml:space="preserve">Genuine improvement from better multi-angle tower packing strategy.</w:t>
            </w:r>
          </w:p>
        </w:tc>
      </w:tr>
      <w:tr>
        <w:tc>
          <w:tcPr>
            <w:tcW w:type="dxa" w:w="12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bCs/>
                <w:color w:val="1A1A1A"/>
                <w:sz w:val="20"/>
                <w:szCs w:val="20"/>
              </w:rPr>
              <w:t xml:space="preserve">FP101-FP120</w:t>
            </w:r>
          </w:p>
        </w:tc>
        <w:tc>
          <w:tcPr>
            <w:tcW w:type="dxa" w:w="16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Various</w:t>
            </w:r>
          </w:p>
        </w:tc>
        <w:tc>
          <w:tcPr>
            <w:tcW w:type="dxa" w:w="2400"/>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Mixed results</w:t>
            </w:r>
          </w:p>
        </w:tc>
        <w:tc>
          <w:tcPr>
            <w:tcW w:type="dxa" w:w="4369"/>
            <w:tcBorders>
              <w:top w:val="single" w:color="CCCCCC" w:sz="4"/>
              <w:left w:val="single" w:color="CCCCCC" w:sz="4"/>
              <w:bottom w:val="single" w:color="CCCCCC" w:sz="4"/>
              <w:right w:val="single" w:color="CCCCCC" w:sz="4"/>
            </w:tcBorders>
            <w:shd w:fill="EBF5FB" w:val="clear"/>
            <w:tcMar>
              <w:top w:type="dxa" w:w="80"/>
              <w:left w:type="dxa" w:w="150"/>
              <w:bottom w:type="dxa" w:w="80"/>
              <w:right w:type="dxa" w:w="150"/>
            </w:tcMar>
          </w:tcPr>
          <w:p>
            <w:r>
              <w:rPr>
                <w:rFonts w:ascii="Arial" w:cs="Arial" w:eastAsia="Arial" w:hAnsi="Arial"/>
                <w:b w:val="false"/>
                <w:bCs w:val="false"/>
                <w:color w:val="1A1A1A"/>
                <w:sz w:val="20"/>
                <w:szCs w:val="20"/>
              </w:rPr>
              <w:t xml:space="preserve">Primary test set used for regression and compliance validation across the pipeline.</w:t>
            </w:r>
          </w:p>
        </w:tc>
      </w:tr>
    </w:tbl>
    <w:p>
      <w:pPr>
        <w:spacing w:after="0" w:before="200"/>
      </w:pPr>
      <w:r>
        <w:t xml:space="preserve"/>
      </w:r>
    </w:p>
    <w:p>
      <w:pPr>
        <w:pStyle w:val="Heading2"/>
        <w:spacing w:after="120" w:before="280"/>
      </w:pPr>
      <w:r>
        <w:rPr>
          <w:rFonts w:ascii="Arial" w:cs="Arial" w:eastAsia="Arial" w:hAnsi="Arial"/>
        </w:rPr>
        <w:t xml:space="preserve">5.4 Performance Improvements Made</w:t>
      </w:r>
    </w:p>
    <w:p>
      <w:pPr>
        <w:spacing w:after="120"/>
      </w:pPr>
      <w:r>
        <w:rPr>
          <w:rFonts w:ascii="Arial" w:cs="Arial" w:eastAsia="Arial" w:hAnsi="Arial"/>
          <w:b w:val="false"/>
          <w:bCs w:val="false"/>
          <w:i w:val="false"/>
          <w:iCs w:val="false"/>
          <w:color w:val="1A1A1A"/>
          <w:sz w:val="20"/>
          <w:szCs w:val="20"/>
        </w:rPr>
        <w:t xml:space="preserve">After the first full benchmark run, the development team made several targeted improvements to increase both accuracy and speed:</w:t>
      </w:r>
    </w:p>
    <w:p>
      <w:pPr>
        <w:spacing w:after="0" w:before="120"/>
      </w:pPr>
      <w:r>
        <w:t xml:space="preserve"/>
      </w:r>
    </w:p>
    <w:p>
      <w:pPr>
        <w:pStyle w:val="Heading3"/>
        <w:spacing w:after="100" w:before="200"/>
      </w:pPr>
      <w:r>
        <w:rPr>
          <w:rFonts w:ascii="Arial" w:cs="Arial" w:eastAsia="Arial" w:hAnsi="Arial"/>
        </w:rPr>
        <w:t xml:space="preserve">Better Tower Fitting - 7-Angle Rotation Sweep</w:t>
      </w:r>
    </w:p>
    <w:p>
      <w:pPr>
        <w:pStyle w:val="ListParagraph"/>
        <w:numPr>
          <w:ilvl w:val="0"/>
          <w:numId w:val="2"/>
        </w:numPr>
        <w:spacing w:after="80"/>
      </w:pPr>
      <w:r>
        <w:rPr>
          <w:rFonts w:ascii="Arial" w:cs="Arial" w:eastAsia="Arial" w:hAnsi="Arial"/>
          <w:color w:val="1A1A1A"/>
          <w:sz w:val="20"/>
          <w:szCs w:val="20"/>
        </w:rPr>
        <w:t xml:space="preserve">Previously, the placement engine tried only 2 orientations: 0 degrees and 90 degrees.</w:t>
      </w:r>
    </w:p>
    <w:p>
      <w:pPr>
        <w:pStyle w:val="ListParagraph"/>
        <w:numPr>
          <w:ilvl w:val="0"/>
          <w:numId w:val="2"/>
        </w:numPr>
        <w:spacing w:after="80"/>
      </w:pPr>
      <w:r>
        <w:rPr>
          <w:rFonts w:ascii="Arial" w:cs="Arial" w:eastAsia="Arial" w:hAnsi="Arial"/>
          <w:color w:val="1A1A1A"/>
          <w:sz w:val="20"/>
          <w:szCs w:val="20"/>
        </w:rPr>
        <w:t xml:space="preserve">The engine now sweeps 7 angles from 0 to 90 degrees in 15-degree steps.</w:t>
      </w:r>
    </w:p>
    <w:p>
      <w:pPr>
        <w:pStyle w:val="ListParagraph"/>
        <w:numPr>
          <w:ilvl w:val="0"/>
          <w:numId w:val="2"/>
        </w:numPr>
        <w:spacing w:after="80"/>
      </w:pPr>
      <w:r>
        <w:rPr>
          <w:rFonts w:ascii="Arial" w:cs="Arial" w:eastAsia="Arial" w:hAnsi="Arial"/>
          <w:color w:val="1A1A1A"/>
          <w:sz w:val="20"/>
          <w:szCs w:val="20"/>
        </w:rPr>
        <w:t xml:space="preserve">This finds much more efficient building orientations, particularly for irregular and non-orthogonal plots.</w:t>
      </w:r>
    </w:p>
    <w:p>
      <w:pPr>
        <w:spacing w:after="0" w:before="100"/>
      </w:pPr>
      <w:r>
        <w:t xml:space="preserve"/>
      </w:r>
    </w:p>
    <w:p>
      <w:pPr>
        <w:pStyle w:val="Heading3"/>
        <w:spacing w:after="100" w:before="200"/>
      </w:pPr>
      <w:r>
        <w:rPr>
          <w:rFonts w:ascii="Arial" w:cs="Arial" w:eastAsia="Arial" w:hAnsi="Arial"/>
        </w:rPr>
        <w:t xml:space="preserve">20-50x Speed Improvement</w:t>
      </w:r>
    </w:p>
    <w:p>
      <w:pPr>
        <w:pStyle w:val="ListParagraph"/>
        <w:numPr>
          <w:ilvl w:val="0"/>
          <w:numId w:val="2"/>
        </w:numPr>
        <w:spacing w:after="80"/>
      </w:pPr>
      <w:r>
        <w:rPr>
          <w:rFonts w:ascii="Arial" w:cs="Arial" w:eastAsia="Arial" w:hAnsi="Arial"/>
          <w:color w:val="1A1A1A"/>
          <w:sz w:val="20"/>
          <w:szCs w:val="20"/>
        </w:rPr>
        <w:t xml:space="preserve">The geometry analysis step was rewritten using vectorised (batch) calculations instead of processing one point at a time.</w:t>
      </w:r>
    </w:p>
    <w:p>
      <w:pPr>
        <w:pStyle w:val="ListParagraph"/>
        <w:numPr>
          <w:ilvl w:val="0"/>
          <w:numId w:val="2"/>
        </w:numPr>
        <w:spacing w:after="80"/>
      </w:pPr>
      <w:r>
        <w:rPr>
          <w:rFonts w:ascii="Arial" w:cs="Arial" w:eastAsia="Arial" w:hAnsi="Arial"/>
          <w:color w:val="1A1A1A"/>
          <w:sz w:val="20"/>
          <w:szCs w:val="20"/>
        </w:rPr>
        <w:t xml:space="preserve">The system is now 20 to 50 times faster for the inscribed rectangle search step.</w:t>
      </w:r>
    </w:p>
    <w:p>
      <w:pPr>
        <w:pStyle w:val="ListParagraph"/>
        <w:numPr>
          <w:ilvl w:val="0"/>
          <w:numId w:val="2"/>
        </w:numPr>
        <w:spacing w:after="80"/>
      </w:pPr>
      <w:r>
        <w:rPr>
          <w:rFonts w:ascii="Arial" w:cs="Arial" w:eastAsia="Arial" w:hAnsi="Arial"/>
          <w:color w:val="1A1A1A"/>
          <w:sz w:val="20"/>
          <w:szCs w:val="20"/>
        </w:rPr>
        <w:t xml:space="preserve">This makes it practical to analyse hundreds of plots in one run without long waiting times.</w:t>
      </w:r>
    </w:p>
    <w:p>
      <w:pPr>
        <w:spacing w:after="0" w:before="100"/>
      </w:pPr>
      <w:r>
        <w:t xml:space="preserve"/>
      </w:r>
    </w:p>
    <w:p>
      <w:pPr>
        <w:pStyle w:val="Heading3"/>
        <w:spacing w:after="100" w:before="200"/>
      </w:pPr>
      <w:r>
        <w:rPr>
          <w:rFonts w:ascii="Arial" w:cs="Arial" w:eastAsia="Arial" w:hAnsi="Arial"/>
        </w:rPr>
        <w:t xml:space="preserve">New Diagonal Packing Strategy</w:t>
      </w:r>
    </w:p>
    <w:p>
      <w:pPr>
        <w:pStyle w:val="ListParagraph"/>
        <w:numPr>
          <w:ilvl w:val="0"/>
          <w:numId w:val="2"/>
        </w:numPr>
        <w:spacing w:after="80"/>
      </w:pPr>
      <w:r>
        <w:rPr>
          <w:rFonts w:ascii="Arial" w:cs="Arial" w:eastAsia="Arial" w:hAnsi="Arial"/>
          <w:color w:val="1A1A1A"/>
          <w:sz w:val="20"/>
          <w:szCs w:val="20"/>
        </w:rPr>
        <w:t xml:space="preserve">A third packing strategy was added, forcing a 45-degree offset from the primary axis.</w:t>
      </w:r>
    </w:p>
    <w:p>
      <w:pPr>
        <w:pStyle w:val="ListParagraph"/>
        <w:numPr>
          <w:ilvl w:val="0"/>
          <w:numId w:val="2"/>
        </w:numPr>
        <w:spacing w:after="80"/>
      </w:pPr>
      <w:r>
        <w:rPr>
          <w:rFonts w:ascii="Arial" w:cs="Arial" w:eastAsia="Arial" w:hAnsi="Arial"/>
          <w:color w:val="1A1A1A"/>
          <w:sz w:val="20"/>
          <w:szCs w:val="20"/>
        </w:rPr>
        <w:t xml:space="preserve">This helps on irregularly shaped plots where straight row or column packing leaves large unused areas.</w:t>
      </w:r>
    </w:p>
    <w:p>
      <w:pPr>
        <w:spacing w:after="0" w:before="100"/>
      </w:pPr>
      <w:r>
        <w:t xml:space="preserve"/>
      </w:r>
    </w:p>
    <w:p>
      <w:pPr>
        <w:pStyle w:val="Heading3"/>
        <w:spacing w:after="100" w:before="200"/>
      </w:pPr>
      <w:r>
        <w:rPr>
          <w:rFonts w:ascii="Arial" w:cs="Arial" w:eastAsia="Arial" w:hAnsi="Arial"/>
        </w:rPr>
        <w:t xml:space="preserve">Key Result - Plot FP133</w:t>
      </w:r>
    </w:p>
    <w:p>
      <w:pPr>
        <w:pStyle w:val="ListParagraph"/>
        <w:numPr>
          <w:ilvl w:val="0"/>
          <w:numId w:val="2"/>
        </w:numPr>
        <w:spacing w:after="80"/>
      </w:pPr>
      <w:r>
        <w:rPr>
          <w:rFonts w:ascii="Arial" w:cs="Arial" w:eastAsia="Arial" w:hAnsi="Arial"/>
          <w:color w:val="1A1A1A"/>
          <w:sz w:val="20"/>
          <w:szCs w:val="20"/>
        </w:rPr>
        <w:t xml:space="preserve">Before improvements: 41% of the buildable envelope was used; FSI achieved was 3.38 over 23 floors.</w:t>
      </w:r>
    </w:p>
    <w:p>
      <w:pPr>
        <w:pStyle w:val="ListParagraph"/>
        <w:numPr>
          <w:ilvl w:val="0"/>
          <w:numId w:val="2"/>
        </w:numPr>
        <w:spacing w:after="80"/>
      </w:pPr>
      <w:r>
        <w:rPr>
          <w:rFonts w:ascii="Arial" w:cs="Arial" w:eastAsia="Arial" w:hAnsi="Arial"/>
          <w:color w:val="1A1A1A"/>
          <w:sz w:val="20"/>
          <w:szCs w:val="20"/>
        </w:rPr>
        <w:t xml:space="preserve">After improvements: 97% of the buildable envelope used; FSI achieved rose to 3.92 over 13 floors - a 15.7% FSI gain.</w:t>
      </w:r>
    </w:p>
    <w:p>
      <w:pPr>
        <w:pStyle w:val="ListParagraph"/>
        <w:numPr>
          <w:ilvl w:val="0"/>
          <w:numId w:val="2"/>
        </w:numPr>
        <w:spacing w:after="80"/>
      </w:pPr>
      <w:r>
        <w:rPr>
          <w:rFonts w:ascii="Arial" w:cs="Arial" w:eastAsia="Arial" w:hAnsi="Arial"/>
          <w:color w:val="1A1A1A"/>
          <w:sz w:val="20"/>
          <w:szCs w:val="20"/>
        </w:rPr>
        <w:t xml:space="preserve">A larger footprint means fewer, more efficient floors rather than a tall and narrow building.</w:t>
      </w:r>
    </w:p>
    <w:p>
      <w:r>
        <w:br w:type="page"/>
      </w:r>
    </w:p>
    <w:p>
      <w:pPr>
        <w:pStyle w:val="Heading1"/>
        <w:spacing w:after="160" w:before="360"/>
      </w:pPr>
      <w:r>
        <w:rPr>
          <w:rFonts w:ascii="Arial" w:cs="Arial" w:eastAsia="Arial" w:hAnsi="Arial"/>
        </w:rPr>
        <w:t xml:space="preserve">6. What's Working Today - Feature Checklist</w:t>
      </w:r>
    </w:p>
    <w:p>
      <w:pPr>
        <w:pBdr>
          <w:bottom w:val="single" w:color="2E75B6" w:sz="6" w:space="1"/>
        </w:pBdr>
        <w:spacing w:after="160" w:before="160"/>
      </w:pPr>
      <w:r>
        <w:t xml:space="preserve"/>
      </w:r>
    </w:p>
    <w:p>
      <w:pPr>
        <w:spacing w:after="120"/>
      </w:pPr>
      <w:r>
        <w:rPr>
          <w:rFonts w:ascii="Arial" w:cs="Arial" w:eastAsia="Arial" w:hAnsi="Arial"/>
          <w:b w:val="false"/>
          <w:bCs w:val="false"/>
          <w:i w:val="false"/>
          <w:iCs w:val="false"/>
          <w:color w:val="1A1A1A"/>
          <w:sz w:val="20"/>
          <w:szCs w:val="20"/>
        </w:rPr>
        <w:t xml:space="preserve">The following features are fully implemented, tested and operational as of March 2026:</w:t>
      </w:r>
    </w:p>
    <w:p>
      <w:pPr>
        <w:spacing w:after="0" w:before="160"/>
      </w:pPr>
      <w:r>
        <w:t xml:space="preserve"/>
      </w:r>
    </w:p>
    <w:p>
      <w:pPr>
        <w:pStyle w:val="ListParagraph"/>
        <w:numPr>
          <w:ilvl w:val="0"/>
          <w:numId w:val="3"/>
        </w:numPr>
        <w:spacing w:after="100"/>
      </w:pPr>
      <w:r>
        <w:rPr>
          <w:rFonts w:ascii="Arial" w:cs="Arial" w:eastAsia="Arial" w:hAnsi="Arial"/>
          <w:color w:val="1A1A1A"/>
          <w:sz w:val="20"/>
          <w:szCs w:val="20"/>
        </w:rPr>
        <w:t xml:space="preserve">Plot ingestion from DXF files - 175 TP14 plots loaded and accessible</w:t>
      </w:r>
    </w:p>
    <w:p>
      <w:pPr>
        <w:pStyle w:val="ListParagraph"/>
        <w:numPr>
          <w:ilvl w:val="0"/>
          <w:numId w:val="3"/>
        </w:numPr>
        <w:spacing w:after="100"/>
      </w:pPr>
      <w:r>
        <w:rPr>
          <w:rFonts w:ascii="Arial" w:cs="Arial" w:eastAsia="Arial" w:hAnsi="Arial"/>
          <w:color w:val="1A1A1A"/>
          <w:sz w:val="20"/>
          <w:szCs w:val="20"/>
        </w:rPr>
        <w:t xml:space="preserve">Building envelope computation with GDCR-correct setbacks (road, side and rear margins)</w:t>
      </w:r>
    </w:p>
    <w:p>
      <w:pPr>
        <w:pStyle w:val="ListParagraph"/>
        <w:numPr>
          <w:ilvl w:val="0"/>
          <w:numId w:val="3"/>
        </w:numPr>
        <w:spacing w:after="100"/>
      </w:pPr>
      <w:r>
        <w:rPr>
          <w:rFonts w:ascii="Arial" w:cs="Arial" w:eastAsia="Arial" w:hAnsi="Arial"/>
          <w:color w:val="1A1A1A"/>
          <w:sz w:val="20"/>
          <w:szCs w:val="20"/>
        </w:rPr>
        <w:t xml:space="preserve">Multi-strategy tower placement with 7-angle rotation sweep</w:t>
      </w:r>
    </w:p>
    <w:p>
      <w:pPr>
        <w:pStyle w:val="ListParagraph"/>
        <w:numPr>
          <w:ilvl w:val="0"/>
          <w:numId w:val="3"/>
        </w:numPr>
        <w:spacing w:after="100"/>
      </w:pPr>
      <w:r>
        <w:rPr>
          <w:rFonts w:ascii="Arial" w:cs="Arial" w:eastAsia="Arial" w:hAnsi="Arial"/>
          <w:color w:val="1A1A1A"/>
          <w:sz w:val="20"/>
          <w:szCs w:val="20"/>
        </w:rPr>
        <w:t xml:space="preserve">Floor skeleton generation - staircase, lift and cores per NBC rules</w:t>
      </w:r>
    </w:p>
    <w:p>
      <w:pPr>
        <w:pStyle w:val="ListParagraph"/>
        <w:numPr>
          <w:ilvl w:val="0"/>
          <w:numId w:val="3"/>
        </w:numPr>
        <w:spacing w:after="100"/>
      </w:pPr>
      <w:r>
        <w:rPr>
          <w:rFonts w:ascii="Arial" w:cs="Arial" w:eastAsia="Arial" w:hAnsi="Arial"/>
          <w:color w:val="1A1A1A"/>
          <w:sz w:val="20"/>
          <w:szCs w:val="20"/>
        </w:rPr>
        <w:t xml:space="preserve">Apartment layout generation supporting 1BHK, 2BHK and 3BHK unit types</w:t>
      </w:r>
    </w:p>
    <w:p>
      <w:pPr>
        <w:pStyle w:val="ListParagraph"/>
        <w:numPr>
          <w:ilvl w:val="0"/>
          <w:numId w:val="3"/>
        </w:numPr>
        <w:spacing w:after="100"/>
      </w:pPr>
      <w:r>
        <w:rPr>
          <w:rFonts w:ascii="Arial" w:cs="Arial" w:eastAsia="Arial" w:hAnsi="Arial"/>
          <w:color w:val="1A1A1A"/>
          <w:sz w:val="20"/>
          <w:szCs w:val="20"/>
        </w:rPr>
        <w:t xml:space="preserve">Multi-tower FSI optimisation (tests 1, 2 and 3 tower configurations)</w:t>
      </w:r>
    </w:p>
    <w:p>
      <w:pPr>
        <w:pStyle w:val="ListParagraph"/>
        <w:numPr>
          <w:ilvl w:val="0"/>
          <w:numId w:val="3"/>
        </w:numPr>
        <w:spacing w:after="100"/>
      </w:pPr>
      <w:r>
        <w:rPr>
          <w:rFonts w:ascii="Arial" w:cs="Arial" w:eastAsia="Arial" w:hAnsi="Arial"/>
          <w:color w:val="1A1A1A"/>
          <w:sz w:val="20"/>
          <w:szCs w:val="20"/>
        </w:rPr>
        <w:t xml:space="preserve">Full GDCR and NBC compliance rules engine - 20+ rules checked automatically</w:t>
      </w:r>
    </w:p>
    <w:p>
      <w:pPr>
        <w:pStyle w:val="ListParagraph"/>
        <w:numPr>
          <w:ilvl w:val="0"/>
          <w:numId w:val="3"/>
        </w:numPr>
        <w:spacing w:after="100"/>
      </w:pPr>
      <w:r>
        <w:rPr>
          <w:rFonts w:ascii="Arial" w:cs="Arial" w:eastAsia="Arial" w:hAnsi="Arial"/>
          <w:color w:val="1A1A1A"/>
          <w:sz w:val="20"/>
          <w:szCs w:val="20"/>
        </w:rPr>
        <w:t xml:space="preserve">Async plan generation with live progress tracking (0-100%)</w:t>
      </w:r>
    </w:p>
    <w:p>
      <w:pPr>
        <w:pStyle w:val="ListParagraph"/>
        <w:numPr>
          <w:ilvl w:val="0"/>
          <w:numId w:val="3"/>
        </w:numPr>
        <w:spacing w:after="100"/>
      </w:pPr>
      <w:r>
        <w:rPr>
          <w:rFonts w:ascii="Arial" w:cs="Arial" w:eastAsia="Arial" w:hAnsi="Arial"/>
          <w:color w:val="1A1A1A"/>
          <w:sz w:val="20"/>
          <w:szCs w:val="20"/>
        </w:rPr>
        <w:t xml:space="preserve">Interactive web map with plot browser for all 175 TP14 plots</w:t>
      </w:r>
    </w:p>
    <w:p>
      <w:pPr>
        <w:pStyle w:val="ListParagraph"/>
        <w:numPr>
          <w:ilvl w:val="0"/>
          <w:numId w:val="3"/>
        </w:numPr>
        <w:spacing w:after="100"/>
      </w:pPr>
      <w:r>
        <w:rPr>
          <w:rFonts w:ascii="Arial" w:cs="Arial" w:eastAsia="Arial" w:hAnsi="Arial"/>
          <w:color w:val="1A1A1A"/>
          <w:sz w:val="20"/>
          <w:szCs w:val="20"/>
        </w:rPr>
        <w:t xml:space="preserve">Site plan visualisation - envelope, towers, setbacks and COP zone on a live map</w:t>
      </w:r>
    </w:p>
    <w:p>
      <w:pPr>
        <w:pStyle w:val="ListParagraph"/>
        <w:numPr>
          <w:ilvl w:val="0"/>
          <w:numId w:val="3"/>
        </w:numPr>
        <w:spacing w:after="100"/>
      </w:pPr>
      <w:r>
        <w:rPr>
          <w:rFonts w:ascii="Arial" w:cs="Arial" w:eastAsia="Arial" w:hAnsi="Arial"/>
          <w:color w:val="1A1A1A"/>
          <w:sz w:val="20"/>
          <w:szCs w:val="20"/>
        </w:rPr>
        <w:t xml:space="preserve">Typical floor plan drawing generation with scale and annotations</w:t>
      </w:r>
    </w:p>
    <w:p>
      <w:pPr>
        <w:pStyle w:val="ListParagraph"/>
        <w:numPr>
          <w:ilvl w:val="0"/>
          <w:numId w:val="3"/>
        </w:numPr>
        <w:spacing w:after="100"/>
      </w:pPr>
      <w:r>
        <w:rPr>
          <w:rFonts w:ascii="Arial" w:cs="Arial" w:eastAsia="Arial" w:hAnsi="Arial"/>
          <w:color w:val="1A1A1A"/>
          <w:sz w:val="20"/>
          <w:szCs w:val="20"/>
        </w:rPr>
        <w:t xml:space="preserve">Unit interior design view - 2D layout with room dimensions</w:t>
      </w:r>
    </w:p>
    <w:p>
      <w:pPr>
        <w:pStyle w:val="ListParagraph"/>
        <w:numPr>
          <w:ilvl w:val="0"/>
          <w:numId w:val="3"/>
        </w:numPr>
        <w:spacing w:after="100"/>
      </w:pPr>
      <w:r>
        <w:rPr>
          <w:rFonts w:ascii="Arial" w:cs="Arial" w:eastAsia="Arial" w:hAnsi="Arial"/>
          <w:color w:val="1A1A1A"/>
          <w:sz w:val="20"/>
          <w:szCs w:val="20"/>
        </w:rPr>
        <w:t xml:space="preserve">3D unit interior preview</w:t>
      </w:r>
    </w:p>
    <w:p>
      <w:pPr>
        <w:pStyle w:val="ListParagraph"/>
        <w:numPr>
          <w:ilvl w:val="0"/>
          <w:numId w:val="3"/>
        </w:numPr>
        <w:spacing w:after="100"/>
      </w:pPr>
      <w:r>
        <w:rPr>
          <w:rFonts w:ascii="Arial" w:cs="Arial" w:eastAsia="Arial" w:hAnsi="Arial"/>
          <w:color w:val="1A1A1A"/>
          <w:sz w:val="20"/>
          <w:szCs w:val="20"/>
        </w:rPr>
        <w:t xml:space="preserve">Professional drawing output with scale bar, north arrow and zone labels</w:t>
      </w:r>
    </w:p>
    <w:p>
      <w:pPr>
        <w:pStyle w:val="ListParagraph"/>
        <w:numPr>
          <w:ilvl w:val="0"/>
          <w:numId w:val="3"/>
        </w:numPr>
        <w:spacing w:after="100"/>
      </w:pPr>
      <w:r>
        <w:rPr>
          <w:rFonts w:ascii="Arial" w:cs="Arial" w:eastAsia="Arial" w:hAnsi="Arial"/>
          <w:color w:val="1A1A1A"/>
          <w:sz w:val="20"/>
          <w:szCs w:val="20"/>
        </w:rPr>
        <w:t xml:space="preserve">User authentication with role-based access (Admin, Architect, Viewer)</w:t>
      </w:r>
    </w:p>
    <w:p>
      <w:pPr>
        <w:pStyle w:val="ListParagraph"/>
        <w:numPr>
          <w:ilvl w:val="0"/>
          <w:numId w:val="3"/>
        </w:numPr>
        <w:spacing w:after="100"/>
      </w:pPr>
      <w:r>
        <w:rPr>
          <w:rFonts w:ascii="Arial" w:cs="Arial" w:eastAsia="Arial" w:hAnsi="Arial"/>
          <w:color w:val="1A1A1A"/>
          <w:sz w:val="20"/>
          <w:szCs w:val="20"/>
        </w:rPr>
        <w:t xml:space="preserve">AI-powered design critique and alternative scenario generation</w:t>
      </w:r>
    </w:p>
    <w:p>
      <w:pPr>
        <w:pStyle w:val="ListParagraph"/>
        <w:numPr>
          <w:ilvl w:val="0"/>
          <w:numId w:val="3"/>
        </w:numPr>
        <w:spacing w:after="100"/>
      </w:pPr>
      <w:r>
        <w:rPr>
          <w:rFonts w:ascii="Arial" w:cs="Arial" w:eastAsia="Arial" w:hAnsi="Arial"/>
          <w:color w:val="1A1A1A"/>
          <w:sz w:val="20"/>
          <w:szCs w:val="20"/>
        </w:rPr>
        <w:t xml:space="preserve">Full benchmark validation: 128 of 175 plots passing (74.9% pass rate)</w:t>
      </w:r>
    </w:p>
    <w:p>
      <w:pPr>
        <w:spacing w:after="0" w:before="200"/>
      </w:pPr>
      <w:r>
        <w:t xml:space="preserve"/>
      </w:r>
    </w:p>
    <w:p>
      <w:pPr>
        <w:pStyle w:val="Heading1"/>
        <w:spacing w:after="160" w:before="360"/>
      </w:pPr>
      <w:r>
        <w:rPr>
          <w:rFonts w:ascii="Arial" w:cs="Arial" w:eastAsia="Arial" w:hAnsi="Arial"/>
        </w:rPr>
        <w:t xml:space="preserve">7. In Progress - Next Steps</w:t>
      </w:r>
    </w:p>
    <w:p>
      <w:pPr>
        <w:pBdr>
          <w:bottom w:val="single" w:color="2E75B6" w:sz="6" w:space="1"/>
        </w:pBdr>
        <w:spacing w:after="160" w:before="160"/>
      </w:pPr>
      <w:r>
        <w:t xml:space="preserve"/>
      </w:r>
    </w:p>
    <w:p>
      <w:pPr>
        <w:spacing w:after="120"/>
      </w:pPr>
      <w:r>
        <w:rPr>
          <w:rFonts w:ascii="Arial" w:cs="Arial" w:eastAsia="Arial" w:hAnsi="Arial"/>
          <w:b w:val="false"/>
          <w:bCs w:val="false"/>
          <w:i w:val="false"/>
          <w:iCs w:val="false"/>
          <w:color w:val="1A1A1A"/>
          <w:sz w:val="20"/>
          <w:szCs w:val="20"/>
        </w:rPr>
        <w:t xml:space="preserve">The following items are currently being worked on or planned for the next development phase:</w:t>
      </w:r>
    </w:p>
    <w:p>
      <w:pPr>
        <w:spacing w:after="0" w:before="160"/>
      </w:pPr>
      <w:r>
        <w:t xml:space="preserve"/>
      </w:r>
    </w:p>
    <w:p>
      <w:pPr>
        <w:pStyle w:val="ListParagraph"/>
        <w:numPr>
          <w:ilvl w:val="0"/>
          <w:numId w:val="2"/>
        </w:numPr>
        <w:spacing w:after="80"/>
      </w:pPr>
      <w:r>
        <w:rPr>
          <w:rFonts w:ascii="Arial" w:cs="Arial" w:eastAsia="Arial" w:hAnsi="Arial"/>
          <w:color w:val="1A1A1A"/>
          <w:sz w:val="20"/>
          <w:szCs w:val="20"/>
        </w:rPr>
        <w:t xml:space="preserve">Improving the benchmark pass rate from 74.9% to 90%+ - specifically targeting irregular-shaped and corner plots.</w:t>
      </w:r>
    </w:p>
    <w:p>
      <w:pPr>
        <w:pStyle w:val="ListParagraph"/>
        <w:numPr>
          <w:ilvl w:val="0"/>
          <w:numId w:val="2"/>
        </w:numPr>
        <w:spacing w:after="80"/>
      </w:pPr>
      <w:r>
        <w:rPr>
          <w:rFonts w:ascii="Arial" w:cs="Arial" w:eastAsia="Arial" w:hAnsi="Arial"/>
          <w:color w:val="1A1A1A"/>
          <w:sz w:val="20"/>
          <w:szCs w:val="20"/>
        </w:rPr>
        <w:t xml:space="preserve">Parking layout integration - automatically allocating basement and surface parking as per GDCR requirements.</w:t>
      </w:r>
    </w:p>
    <w:p>
      <w:pPr>
        <w:pStyle w:val="ListParagraph"/>
        <w:numPr>
          <w:ilvl w:val="0"/>
          <w:numId w:val="2"/>
        </w:numPr>
        <w:spacing w:after="80"/>
      </w:pPr>
      <w:r>
        <w:rPr>
          <w:rFonts w:ascii="Arial" w:cs="Arial" w:eastAsia="Arial" w:hAnsi="Arial"/>
          <w:color w:val="1A1A1A"/>
          <w:sz w:val="20"/>
          <w:szCs w:val="20"/>
        </w:rPr>
        <w:t xml:space="preserve">PDF and DXF export - allowing architects to download generated drawings in standard formats used across the industry.</w:t>
      </w:r>
    </w:p>
    <w:p>
      <w:pPr>
        <w:pStyle w:val="ListParagraph"/>
        <w:numPr>
          <w:ilvl w:val="0"/>
          <w:numId w:val="2"/>
        </w:numPr>
        <w:spacing w:after="80"/>
      </w:pPr>
      <w:r>
        <w:rPr>
          <w:rFonts w:ascii="Arial" w:cs="Arial" w:eastAsia="Arial" w:hAnsi="Arial"/>
          <w:color w:val="1A1A1A"/>
          <w:sz w:val="20"/>
          <w:szCs w:val="20"/>
        </w:rPr>
        <w:t xml:space="preserve">Multi-scheme support - expanding the system beyond TP14 to support other Gujarat TP schemes.</w:t>
      </w:r>
    </w:p>
    <w:p>
      <w:pPr>
        <w:pStyle w:val="ListParagraph"/>
        <w:numPr>
          <w:ilvl w:val="0"/>
          <w:numId w:val="2"/>
        </w:numPr>
        <w:spacing w:after="80"/>
      </w:pPr>
      <w:r>
        <w:rPr>
          <w:rFonts w:ascii="Arial" w:cs="Arial" w:eastAsia="Arial" w:hAnsi="Arial"/>
          <w:color w:val="1A1A1A"/>
          <w:sz w:val="20"/>
          <w:szCs w:val="20"/>
        </w:rPr>
        <w:t xml:space="preserve">Enhanced 3D building visualisation - full building massing model of the proposed development.</w:t>
      </w:r>
    </w:p>
    <w:p>
      <w:pPr>
        <w:pStyle w:val="ListParagraph"/>
        <w:numPr>
          <w:ilvl w:val="0"/>
          <w:numId w:val="2"/>
        </w:numPr>
        <w:spacing w:after="80"/>
      </w:pPr>
      <w:r>
        <w:rPr>
          <w:rFonts w:ascii="Arial" w:cs="Arial" w:eastAsia="Arial" w:hAnsi="Arial"/>
          <w:color w:val="1A1A1A"/>
          <w:sz w:val="20"/>
          <w:szCs w:val="20"/>
        </w:rPr>
        <w:t xml:space="preserve">Structural and MEP zone tagging - preliminary identification of structural grid, electrical and plumbing zones.</w:t>
      </w:r>
    </w:p>
    <w:p>
      <w:pPr>
        <w:spacing w:after="0" w:before="400"/>
      </w:pPr>
      <w:r>
        <w:t xml:space="preserve"/>
      </w:r>
    </w:p>
    <w:p>
      <w:pPr>
        <w:pBdr>
          <w:bottom w:val="single" w:color="2E75B6" w:sz="6" w:space="1"/>
        </w:pBdr>
        <w:spacing w:after="160" w:before="160"/>
      </w:pPr>
      <w:r>
        <w:t xml:space="preserve"/>
      </w:r>
    </w:p>
    <w:p>
      <w:pPr>
        <w:spacing w:after="0"/>
        <w:jc w:val="center"/>
      </w:pPr>
      <w:r>
        <w:rPr>
          <w:rFonts w:ascii="Arial" w:cs="Arial" w:eastAsia="Arial" w:hAnsi="Arial"/>
          <w:i/>
          <w:iCs/>
          <w:color w:val="888888"/>
          <w:sz w:val="18"/>
          <w:szCs w:val="18"/>
        </w:rPr>
        <w:t xml:space="preserve">End of Report   |   AI for Architecture   |   March 2026</w:t>
      </w:r>
    </w:p>
    <w:sectPr>
      <w:headerReference w:type="default" r:id="rId7"/>
      <w:footerReference w:type="default" r:id="rId8"/>
      <w:pgSz w:w="11906" w:h="16838" w:orient="portrait"/>
      <w:pgMar w:top="100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00"/>
    </w:pPr>
    <w:r>
      <w:rPr>
        <w:rFonts w:ascii="Arial" w:cs="Arial" w:eastAsia="Arial" w:hAnsi="Arial"/>
        <w:color w:val="888888"/>
        <w:sz w:val="16"/>
        <w:szCs w:val="16"/>
      </w:rPr>
      <w:t xml:space="preserve">Confidential - Client Progress Report, March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pPr>
    <w:r>
      <w:rPr>
        <w:rFonts w:ascii="Arial" w:cs="Arial" w:eastAsia="Arial" w:hAnsi="Arial"/>
        <w:b/>
        <w:bCs/>
        <w:color w:val="2E75B6"/>
        <w:sz w:val="18"/>
        <w:szCs w:val="18"/>
      </w:rPr>
      <w:t xml:space="preserve">AI for Architecture</w:t>
    </w:r>
    <w:r>
      <w:rPr>
        <w:rFonts w:ascii="Arial" w:cs="Arial" w:eastAsia="Arial" w:hAnsi="Arial"/>
        <w:color w:val="888888"/>
        <w:sz w:val="18"/>
        <w:szCs w:val="18"/>
      </w:rPr>
      <w:t xml:space="preserve">   |   Smart Plot Development Optimization System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2026-03-21T05:23:07.998Z</dcterms:created>
  <dcterms:modified xsi:type="dcterms:W3CDTF">2026-03-21T05:23:07.999Z</dcterms:modified>
</cp:coreProperties>
</file>

<file path=docProps/custom.xml><?xml version="1.0" encoding="utf-8"?>
<Properties xmlns="http://schemas.openxmlformats.org/officeDocument/2006/custom-properties" xmlns:vt="http://schemas.openxmlformats.org/officeDocument/2006/docPropsVTypes"/>
</file>