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Sampling Question: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 statistics student who is curious about the relationship between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amount of time students spend on social networking sites and their performance at school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decides to conduct a survey. Various research strategies for collecting data are described below.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 each, name the sampling method proposed and any bias you might expect.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(a) He randomly samples 40 students from the study's population, gives them the survey, asks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them to ll it out and bring it back the next day.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(b) He gives out the survey only to his friends, making sure each one of them lls out the survey.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(c) He posts a link to an online survey on Facebook and asks his friends to ll out the survey.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(d) He randomly samples 5 classes and asks a random sample of students from those classes to ll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out the survey.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Answer:</w:t>
        <w:br w:type="textWrapping"/>
        <w:t xml:space="preserve">(a) Simple random sample. Non-response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bias, if only those people who have strong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opinions about the survey responds his sample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may not be representative of the population.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(b) Convenience sample. Under coverage bias,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his sample may not be representative of the pop-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ulation since it consists only of his friends. It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is also possible that the study will have non-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response bias if some choose to not bring back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survey. (c) Convenience sample. This will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have a similar issues to handing out surveys to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friends. (d) Multi-stage sampling. If the classes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are similar to each other with respect to student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composition this approach should not introduce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bias, other than potential non-response bias.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