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Qn -In parts (a) and (b), identify whether the events are disjoint,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independent, or neither.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(a) You and a randomly selected student from your class both earn A's in this course.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(b) You and your class study partner both earn A's in this course.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(c) If two events can occur at the same time, must they be dependent?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(d) Can events be both disjoint and independent? (explain in a line or two)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(a) If the class is not graded on a curve,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they are independent. If graded on a curve,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then neither independent nor disjoint { unless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instructor will only give one A, which is 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situation we will ignore in parts (b) and (c).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(b) They are probably not independent: if you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study together, your study habits would be re-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lated, which suggests your course performances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are also related.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(c) No. See the answer to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part (a) when the course is not graded on 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curve. More generally: if two things are un-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related (independent), then one occurring does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not preclude the other from occurring.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(d) No.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is true that if A occurs, the probability of B occurring is zero (P(B. ... A) = 0, the requirement that an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be contained by A does affect the probability of B occurring, so A and B are not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independent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Thus, if A and B are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mutually exclusive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they are not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independent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