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Data collected by the Substance Abuse and Mental Health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Services Administration (SAMSHA) suggests that 69.7% of 18-20 year olds consumed alcoholic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beverages in 2008.49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(a) Suppose a random sample of ten 18-20 year olds is taken. Is the use of the binomial distribution appropriate for calculating the probability that exactly six consumed alcoholic beverages?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Explain.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(b) Calculate the probability that exactly 6 out of 10 randomly sampled 18- 20 year olds consumed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 alcoholic drink.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(c) What is the probability that at most 2 out of 5 randomly sampled 18-20 year olds have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consumed alcoholic beverages?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(a) Binomial conditions are met: (1) In-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dependent trials: In a random sample, whether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or not one 18-20 year old has consumed alco-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hol does not depend on whether or not another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one has. (2) Fixed number of trials: n = 10.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(3) Only two outcomes at each trial: Consumed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did not consume alcohol. (4) Probability of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 success is the same for each trial: p = 0:697.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(b) 0.203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(c)0.167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